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CD277" w14:textId="77777777" w:rsidR="00080F7C" w:rsidRPr="0015423B" w:rsidRDefault="00080F7C" w:rsidP="0047736A">
      <w:pPr>
        <w:jc w:val="center"/>
        <w:rPr>
          <w:rFonts w:ascii="Bookman Old Style" w:hAnsi="Bookman Old Style"/>
          <w:b/>
          <w:bCs/>
          <w:i/>
          <w:iCs/>
          <w:sz w:val="22"/>
          <w:szCs w:val="22"/>
        </w:rPr>
      </w:pPr>
    </w:p>
    <w:p w14:paraId="78A41964" w14:textId="77777777"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u w:val="single"/>
          <w:lang w:bidi="it-IT"/>
        </w:rPr>
      </w:pPr>
    </w:p>
    <w:p w14:paraId="4A6F05D7" w14:textId="4BE90DEB"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u w:val="single"/>
          <w:lang w:bidi="it-IT"/>
        </w:rPr>
      </w:pPr>
    </w:p>
    <w:p w14:paraId="203FF455" w14:textId="2773837F" w:rsidR="006C34E5" w:rsidRPr="0015423B" w:rsidRDefault="001A3F71" w:rsidP="006C34E5">
      <w:pPr>
        <w:widowControl w:val="0"/>
        <w:autoSpaceDE w:val="0"/>
        <w:autoSpaceDN w:val="0"/>
        <w:spacing w:after="96" w:line="276" w:lineRule="auto"/>
        <w:jc w:val="center"/>
        <w:rPr>
          <w:rFonts w:ascii="Bookman Old Style" w:eastAsia="Bookman Old Style" w:hAnsi="Bookman Old Style" w:cs="Bookman Old Style"/>
          <w:b/>
          <w:bCs/>
          <w:sz w:val="22"/>
          <w:szCs w:val="22"/>
          <w:u w:val="single"/>
          <w:lang w:bidi="it-IT"/>
        </w:rPr>
      </w:pPr>
      <w:r w:rsidRPr="0015423B">
        <w:rPr>
          <w:rFonts w:ascii="Bookman Old Style" w:eastAsia="Bookman Old Style" w:hAnsi="Bookman Old Style"/>
          <w:noProof/>
          <w:sz w:val="22"/>
          <w:szCs w:val="22"/>
          <w:lang w:bidi="en-US"/>
        </w:rPr>
        <w:drawing>
          <wp:inline distT="0" distB="0" distL="0" distR="0" wp14:anchorId="15887515" wp14:editId="2F006738">
            <wp:extent cx="789394" cy="1166812"/>
            <wp:effectExtent l="0" t="0" r="0" b="0"/>
            <wp:docPr id="1" name="image1.jpeg" descr="Immagine che contiene disegnand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89394" cy="1166812"/>
                    </a:xfrm>
                    <a:prstGeom prst="rect">
                      <a:avLst/>
                    </a:prstGeom>
                  </pic:spPr>
                </pic:pic>
              </a:graphicData>
            </a:graphic>
          </wp:inline>
        </w:drawing>
      </w:r>
    </w:p>
    <w:p w14:paraId="508D1195" w14:textId="77777777"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u w:val="single"/>
          <w:lang w:bidi="it-IT"/>
        </w:rPr>
      </w:pPr>
    </w:p>
    <w:p w14:paraId="4EE85D84" w14:textId="77777777"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u w:val="single"/>
          <w:lang w:bidi="it-IT"/>
        </w:rPr>
      </w:pPr>
    </w:p>
    <w:p w14:paraId="4358695E" w14:textId="77777777"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u w:val="single"/>
          <w:lang w:bidi="it-IT"/>
        </w:rPr>
      </w:pPr>
    </w:p>
    <w:p w14:paraId="31CF21E0" w14:textId="77777777"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u w:val="single"/>
          <w:lang w:bidi="it-IT"/>
        </w:rPr>
      </w:pPr>
    </w:p>
    <w:p w14:paraId="72536956" w14:textId="5544CAED"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lang w:bidi="it-IT"/>
        </w:rPr>
      </w:pPr>
      <w:r w:rsidRPr="0015423B">
        <w:rPr>
          <w:rFonts w:ascii="Bookman Old Style" w:eastAsia="Bookman Old Style" w:hAnsi="Bookman Old Style" w:cs="Bookman Old Style"/>
          <w:b/>
          <w:bCs/>
          <w:sz w:val="22"/>
          <w:szCs w:val="22"/>
          <w:lang w:bidi="it-IT"/>
        </w:rPr>
        <w:t>PROPOST</w:t>
      </w:r>
      <w:r w:rsidR="0094547C" w:rsidRPr="0015423B">
        <w:rPr>
          <w:rFonts w:ascii="Bookman Old Style" w:eastAsia="Bookman Old Style" w:hAnsi="Bookman Old Style" w:cs="Bookman Old Style"/>
          <w:b/>
          <w:bCs/>
          <w:sz w:val="22"/>
          <w:szCs w:val="22"/>
          <w:lang w:bidi="it-IT"/>
        </w:rPr>
        <w:t>E</w:t>
      </w:r>
      <w:r w:rsidRPr="0015423B">
        <w:rPr>
          <w:rFonts w:ascii="Bookman Old Style" w:eastAsia="Bookman Old Style" w:hAnsi="Bookman Old Style" w:cs="Bookman Old Style"/>
          <w:b/>
          <w:bCs/>
          <w:sz w:val="22"/>
          <w:szCs w:val="22"/>
          <w:lang w:bidi="it-IT"/>
        </w:rPr>
        <w:t xml:space="preserve"> DI EMENDAMENT</w:t>
      </w:r>
      <w:r w:rsidR="00E421A5" w:rsidRPr="0015423B">
        <w:rPr>
          <w:rFonts w:ascii="Bookman Old Style" w:eastAsia="Bookman Old Style" w:hAnsi="Bookman Old Style" w:cs="Bookman Old Style"/>
          <w:b/>
          <w:bCs/>
          <w:sz w:val="22"/>
          <w:szCs w:val="22"/>
          <w:lang w:bidi="it-IT"/>
        </w:rPr>
        <w:t>I</w:t>
      </w:r>
    </w:p>
    <w:p w14:paraId="04FCF5B7" w14:textId="77777777"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lang w:bidi="it-IT"/>
        </w:rPr>
      </w:pPr>
    </w:p>
    <w:p w14:paraId="02C80FBA" w14:textId="5CAB8B38" w:rsidR="006C34E5" w:rsidRPr="0015423B" w:rsidRDefault="00E421A5" w:rsidP="002E0753">
      <w:pPr>
        <w:widowControl w:val="0"/>
        <w:autoSpaceDE w:val="0"/>
        <w:autoSpaceDN w:val="0"/>
        <w:jc w:val="center"/>
        <w:rPr>
          <w:rFonts w:ascii="Bookman Old Style" w:eastAsia="Bookman Old Style" w:hAnsi="Bookman Old Style" w:cs="Bookman Old Style"/>
          <w:b/>
          <w:sz w:val="22"/>
          <w:szCs w:val="22"/>
          <w:lang w:bidi="it-IT"/>
        </w:rPr>
      </w:pPr>
      <w:r w:rsidRPr="0015423B">
        <w:rPr>
          <w:rFonts w:ascii="Bookman Old Style" w:eastAsia="Bookman Old Style" w:hAnsi="Bookman Old Style" w:cs="Bookman Old Style"/>
          <w:b/>
          <w:sz w:val="22"/>
          <w:szCs w:val="22"/>
          <w:lang w:bidi="it-IT"/>
        </w:rPr>
        <w:t>Ddl di conversione</w:t>
      </w:r>
      <w:r w:rsidR="002E0753" w:rsidRPr="0015423B">
        <w:rPr>
          <w:rFonts w:ascii="Bookman Old Style" w:eastAsia="Bookman Old Style" w:hAnsi="Bookman Old Style" w:cs="Bookman Old Style"/>
          <w:b/>
          <w:sz w:val="22"/>
          <w:szCs w:val="22"/>
          <w:lang w:bidi="it-IT"/>
        </w:rPr>
        <w:t xml:space="preserve"> del decreto-legge 17 ottobre 2024, n.153, recante </w:t>
      </w:r>
      <w:r w:rsidR="005552A7" w:rsidRPr="0015423B">
        <w:rPr>
          <w:rFonts w:ascii="Bookman Old Style" w:eastAsia="Bookman Old Style" w:hAnsi="Bookman Old Style" w:cs="Bookman Old Style"/>
          <w:b/>
          <w:sz w:val="22"/>
          <w:szCs w:val="22"/>
          <w:lang w:bidi="it-IT"/>
        </w:rPr>
        <w:t>“</w:t>
      </w:r>
      <w:r w:rsidR="005552A7" w:rsidRPr="0015423B">
        <w:rPr>
          <w:rFonts w:ascii="Bookman Old Style" w:eastAsia="Bookman Old Style" w:hAnsi="Bookman Old Style" w:cs="Bookman Old Style"/>
          <w:b/>
          <w:i/>
          <w:iCs/>
          <w:sz w:val="22"/>
          <w:szCs w:val="22"/>
          <w:lang w:bidi="it-IT"/>
        </w:rPr>
        <w:t>D</w:t>
      </w:r>
      <w:r w:rsidR="002E0753" w:rsidRPr="0015423B">
        <w:rPr>
          <w:rFonts w:ascii="Bookman Old Style" w:eastAsia="Bookman Old Style" w:hAnsi="Bookman Old Style" w:cs="Bookman Old Style"/>
          <w:b/>
          <w:i/>
          <w:iCs/>
          <w:sz w:val="22"/>
          <w:szCs w:val="22"/>
          <w:lang w:bidi="it-IT"/>
        </w:rPr>
        <w:t>isposizioni urgenti per la tutela ambientale del Paese, la razionalizzazione dei procedimenti di valutazione e autorizzazione ambientale, la promozione dell’economia circolare, l’attuazione di interventi in materia di bonifiche di siti contaminati e dissesto idrogeologico</w:t>
      </w:r>
      <w:r w:rsidR="005552A7" w:rsidRPr="0015423B">
        <w:rPr>
          <w:rFonts w:ascii="Bookman Old Style" w:eastAsia="Bookman Old Style" w:hAnsi="Bookman Old Style" w:cs="Bookman Old Style"/>
          <w:b/>
          <w:sz w:val="22"/>
          <w:szCs w:val="22"/>
          <w:lang w:bidi="it-IT"/>
        </w:rPr>
        <w:t>”</w:t>
      </w:r>
    </w:p>
    <w:p w14:paraId="3951E64B" w14:textId="77777777" w:rsidR="00E421A5" w:rsidRPr="0015423B" w:rsidRDefault="00E421A5" w:rsidP="002E0753">
      <w:pPr>
        <w:widowControl w:val="0"/>
        <w:autoSpaceDE w:val="0"/>
        <w:autoSpaceDN w:val="0"/>
        <w:jc w:val="center"/>
        <w:rPr>
          <w:rFonts w:ascii="Bookman Old Style" w:eastAsia="Bookman Old Style" w:hAnsi="Bookman Old Style" w:cs="Bookman Old Style"/>
          <w:b/>
          <w:sz w:val="22"/>
          <w:szCs w:val="22"/>
          <w:lang w:bidi="it-IT"/>
        </w:rPr>
      </w:pPr>
    </w:p>
    <w:p w14:paraId="15D7EB61" w14:textId="77777777" w:rsidR="00E421A5" w:rsidRPr="0015423B" w:rsidRDefault="00E421A5" w:rsidP="002E0753">
      <w:pPr>
        <w:widowControl w:val="0"/>
        <w:autoSpaceDE w:val="0"/>
        <w:autoSpaceDN w:val="0"/>
        <w:jc w:val="center"/>
        <w:rPr>
          <w:rFonts w:ascii="Bookman Old Style" w:eastAsia="Bookman Old Style" w:hAnsi="Bookman Old Style" w:cs="Bookman Old Style"/>
          <w:b/>
          <w:sz w:val="22"/>
          <w:szCs w:val="22"/>
          <w:lang w:bidi="it-IT"/>
        </w:rPr>
      </w:pPr>
    </w:p>
    <w:p w14:paraId="176D956C" w14:textId="77777777" w:rsidR="00E421A5" w:rsidRPr="0015423B" w:rsidRDefault="00E421A5" w:rsidP="00E421A5">
      <w:pPr>
        <w:widowControl w:val="0"/>
        <w:autoSpaceDE w:val="0"/>
        <w:autoSpaceDN w:val="0"/>
        <w:spacing w:after="96" w:line="276" w:lineRule="auto"/>
        <w:jc w:val="center"/>
        <w:rPr>
          <w:rFonts w:ascii="Bookman Old Style" w:eastAsia="Bookman Old Style" w:hAnsi="Bookman Old Style" w:cs="Bookman Old Style"/>
          <w:b/>
          <w:bCs/>
          <w:sz w:val="22"/>
          <w:szCs w:val="22"/>
          <w:lang w:bidi="it-IT"/>
        </w:rPr>
      </w:pPr>
      <w:r w:rsidRPr="0015423B">
        <w:rPr>
          <w:rFonts w:ascii="Bookman Old Style" w:eastAsia="Bookman Old Style" w:hAnsi="Bookman Old Style" w:cs="Bookman Old Style"/>
          <w:b/>
          <w:bCs/>
          <w:sz w:val="22"/>
          <w:szCs w:val="22"/>
          <w:lang w:bidi="it-IT"/>
        </w:rPr>
        <w:t>AS 1272</w:t>
      </w:r>
    </w:p>
    <w:p w14:paraId="500FFF4D" w14:textId="77777777" w:rsidR="006C34E5" w:rsidRPr="0015423B" w:rsidRDefault="006C34E5" w:rsidP="006C34E5">
      <w:pPr>
        <w:widowControl w:val="0"/>
        <w:autoSpaceDE w:val="0"/>
        <w:autoSpaceDN w:val="0"/>
        <w:spacing w:after="96" w:line="276" w:lineRule="auto"/>
        <w:jc w:val="center"/>
        <w:rPr>
          <w:rFonts w:ascii="Bookman Old Style" w:eastAsia="Bookman Old Style" w:hAnsi="Bookman Old Style" w:cs="Bookman Old Style"/>
          <w:b/>
          <w:bCs/>
          <w:sz w:val="22"/>
          <w:szCs w:val="22"/>
          <w:lang w:bidi="it-IT"/>
        </w:rPr>
      </w:pPr>
    </w:p>
    <w:p w14:paraId="10C217AD" w14:textId="77777777" w:rsidR="006C34E5" w:rsidRPr="0015423B" w:rsidRDefault="006C34E5" w:rsidP="006C34E5">
      <w:pPr>
        <w:spacing w:after="160" w:line="259" w:lineRule="auto"/>
        <w:rPr>
          <w:rFonts w:ascii="Bookman Old Style" w:eastAsia="Bookman Old Style" w:hAnsi="Bookman Old Style" w:cs="Bookman Old Style"/>
          <w:b/>
          <w:bCs/>
          <w:sz w:val="22"/>
          <w:szCs w:val="22"/>
          <w:u w:val="single"/>
          <w:lang w:bidi="it-IT"/>
        </w:rPr>
      </w:pPr>
      <w:r w:rsidRPr="0015423B">
        <w:rPr>
          <w:rFonts w:ascii="Bookman Old Style" w:eastAsia="Bookman Old Style" w:hAnsi="Bookman Old Style" w:cs="Bookman Old Style"/>
          <w:b/>
          <w:bCs/>
          <w:sz w:val="22"/>
          <w:szCs w:val="22"/>
          <w:u w:val="single"/>
          <w:lang w:bidi="it-IT"/>
        </w:rPr>
        <w:br w:type="page"/>
      </w:r>
    </w:p>
    <w:p w14:paraId="63E85F67" w14:textId="759A4C25" w:rsidR="00614217" w:rsidRPr="00614217" w:rsidRDefault="00732C0D" w:rsidP="00614217">
      <w:pPr>
        <w:spacing w:after="160" w:line="276" w:lineRule="auto"/>
        <w:jc w:val="both"/>
        <w:rPr>
          <w:rFonts w:ascii="Bookman Old Style" w:hAnsi="Bookman Old Style" w:cs="Times New Roman"/>
          <w:b/>
          <w:bCs/>
          <w:sz w:val="22"/>
          <w:szCs w:val="22"/>
        </w:rPr>
      </w:pPr>
      <w:r w:rsidRPr="00614217">
        <w:rPr>
          <w:rFonts w:ascii="Bookman Old Style" w:hAnsi="Bookman Old Style" w:cs="Times New Roman"/>
          <w:b/>
          <w:bCs/>
          <w:sz w:val="22"/>
          <w:szCs w:val="22"/>
        </w:rPr>
        <w:lastRenderedPageBreak/>
        <w:t xml:space="preserve">CONFIGURAZIONI DI AUTOCONSUMO ENERGETICO RINNOVABILI E RETE ELETTRICA NAZIONALE DI DISTRIBUZIONE  </w:t>
      </w:r>
    </w:p>
    <w:p w14:paraId="0AB43007" w14:textId="77777777" w:rsidR="00614217" w:rsidRDefault="00614217" w:rsidP="00614217">
      <w:pPr>
        <w:spacing w:line="276" w:lineRule="auto"/>
        <w:jc w:val="both"/>
        <w:rPr>
          <w:rFonts w:ascii="Bookman Old Style" w:hAnsi="Bookman Old Style" w:cs="Times New Roman"/>
          <w:sz w:val="22"/>
          <w:szCs w:val="22"/>
        </w:rPr>
      </w:pPr>
    </w:p>
    <w:p w14:paraId="3DA33244" w14:textId="5BF4088D" w:rsidR="00614217" w:rsidRPr="00C57B84" w:rsidRDefault="00614217" w:rsidP="00614217">
      <w:pPr>
        <w:spacing w:line="276" w:lineRule="auto"/>
        <w:jc w:val="both"/>
        <w:rPr>
          <w:rFonts w:ascii="Bookman Old Style" w:hAnsi="Bookman Old Style" w:cs="Times New Roman"/>
          <w:sz w:val="22"/>
          <w:szCs w:val="22"/>
        </w:rPr>
      </w:pPr>
      <w:r w:rsidRPr="00581242">
        <w:rPr>
          <w:rFonts w:ascii="Bookman Old Style" w:hAnsi="Bookman Old Style" w:cs="Times New Roman"/>
          <w:sz w:val="22"/>
          <w:szCs w:val="22"/>
        </w:rPr>
        <w:t>Dopo l’articolo</w:t>
      </w:r>
      <w:r w:rsidR="00732C0D">
        <w:rPr>
          <w:rFonts w:ascii="Bookman Old Style" w:hAnsi="Bookman Old Style" w:cs="Times New Roman"/>
          <w:sz w:val="22"/>
          <w:szCs w:val="22"/>
        </w:rPr>
        <w:t xml:space="preserve"> 2</w:t>
      </w:r>
      <w:r w:rsidRPr="00581242">
        <w:rPr>
          <w:rFonts w:ascii="Bookman Old Style" w:hAnsi="Bookman Old Style" w:cs="Times New Roman"/>
          <w:sz w:val="22"/>
          <w:szCs w:val="22"/>
        </w:rPr>
        <w:t xml:space="preserve">, è inserito il seguente: </w:t>
      </w:r>
    </w:p>
    <w:p w14:paraId="38CC3D9C" w14:textId="77777777" w:rsidR="00614217" w:rsidRPr="00C57B84" w:rsidRDefault="00614217" w:rsidP="00614217">
      <w:pPr>
        <w:spacing w:line="276" w:lineRule="auto"/>
        <w:jc w:val="center"/>
        <w:rPr>
          <w:rFonts w:ascii="Bookman Old Style" w:hAnsi="Bookman Old Style" w:cs="Times New Roman"/>
          <w:b/>
          <w:bCs/>
          <w:sz w:val="22"/>
          <w:szCs w:val="22"/>
        </w:rPr>
      </w:pPr>
      <w:r w:rsidRPr="00C57B84">
        <w:rPr>
          <w:rFonts w:ascii="Bookman Old Style" w:hAnsi="Bookman Old Style" w:cs="Times New Roman"/>
          <w:b/>
          <w:bCs/>
          <w:sz w:val="22"/>
          <w:szCs w:val="22"/>
        </w:rPr>
        <w:t>Articolo 2-</w:t>
      </w:r>
      <w:r w:rsidRPr="00C57B84">
        <w:rPr>
          <w:rFonts w:ascii="Bookman Old Style" w:hAnsi="Bookman Old Style" w:cs="Times New Roman"/>
          <w:b/>
          <w:bCs/>
          <w:i/>
          <w:iCs/>
          <w:sz w:val="22"/>
          <w:szCs w:val="22"/>
        </w:rPr>
        <w:t>bis</w:t>
      </w:r>
    </w:p>
    <w:p w14:paraId="0E645A86" w14:textId="77777777" w:rsidR="00614217" w:rsidRPr="00C57B84" w:rsidRDefault="00614217" w:rsidP="00614217">
      <w:pPr>
        <w:spacing w:line="276" w:lineRule="auto"/>
        <w:jc w:val="center"/>
        <w:rPr>
          <w:rFonts w:ascii="Bookman Old Style" w:hAnsi="Bookman Old Style" w:cs="Times New Roman"/>
          <w:b/>
          <w:bCs/>
          <w:sz w:val="22"/>
          <w:szCs w:val="22"/>
        </w:rPr>
      </w:pPr>
      <w:r w:rsidRPr="00C57B84">
        <w:rPr>
          <w:rFonts w:ascii="Bookman Old Style" w:hAnsi="Bookman Old Style" w:cs="Times New Roman"/>
          <w:b/>
          <w:bCs/>
          <w:sz w:val="22"/>
          <w:szCs w:val="22"/>
        </w:rPr>
        <w:t>(Disposizione in materia di Comunità energetiche rinnovabili e rete elettrica nazionale di distribuzione)</w:t>
      </w:r>
    </w:p>
    <w:p w14:paraId="3AF179C8" w14:textId="77777777" w:rsidR="00614217" w:rsidRPr="00C57B84" w:rsidRDefault="00614217" w:rsidP="00614217">
      <w:pPr>
        <w:spacing w:line="276" w:lineRule="auto"/>
        <w:jc w:val="center"/>
        <w:rPr>
          <w:rFonts w:ascii="Bookman Old Style" w:hAnsi="Bookman Old Style" w:cs="Times New Roman"/>
          <w:b/>
          <w:bCs/>
          <w:sz w:val="22"/>
          <w:szCs w:val="22"/>
        </w:rPr>
      </w:pPr>
    </w:p>
    <w:p w14:paraId="5CD9C2D9" w14:textId="77777777" w:rsidR="00614217" w:rsidRPr="00C57B84" w:rsidRDefault="00614217" w:rsidP="00614217">
      <w:pPr>
        <w:spacing w:line="276" w:lineRule="auto"/>
        <w:jc w:val="both"/>
        <w:rPr>
          <w:rFonts w:ascii="Bookman Old Style" w:hAnsi="Bookman Old Style" w:cs="Times New Roman"/>
          <w:sz w:val="22"/>
          <w:szCs w:val="22"/>
        </w:rPr>
      </w:pPr>
      <w:r w:rsidRPr="00C57B84">
        <w:rPr>
          <w:rFonts w:ascii="Bookman Old Style" w:hAnsi="Bookman Old Style"/>
          <w:sz w:val="22"/>
          <w:szCs w:val="22"/>
        </w:rPr>
        <w:t>1</w:t>
      </w:r>
      <w:r w:rsidRPr="00C57B84">
        <w:rPr>
          <w:rFonts w:ascii="Bookman Old Style" w:hAnsi="Bookman Old Style" w:cs="Times New Roman"/>
          <w:sz w:val="22"/>
          <w:szCs w:val="22"/>
        </w:rPr>
        <w:t>. Al fine di conseguire fattivamente i target del Piano Nazionale di Ripresa e Resilienza previsti dalla Missione 2 (M2-Rivoluzione verde e Transizione ecologica), Componente 2, Investimento 1.2 (Promozione rinnovabili per le comunità energetiche e l'autoconsumo), e garantire priorità di allaccio alla rete di distribuzione per le configurazioni che presentano istanza di accesso all’incentivo,  entro 30 giorni dalla pubblicazione della legge di conversione del presente legge in Gazzetta Ufficiale, il Ministero dell’Ambiente e della Sicurezza Energetica, istituisce una Cabina di Regia con l’Autorità di regolazione per energia reti e ambiente, il Gestore dei Servizi Energetici, TERNA, i distributori di rete elettrica nazionale, le Regioni e gli Enti Locali, per verificare lo stato delle reti di distribuzione e trasmissione, stabilire priorità di intervento anche a valere sulle risorse all’uopo allocate del Piano Nazionale di Ripresa e Resilienza, sia di tipo infrastrutturale che regolatorio, al fine di tutelare l’autoproduzione diffusa su tutto il territorio nazionale.</w:t>
      </w:r>
    </w:p>
    <w:p w14:paraId="2914ECD4" w14:textId="77777777" w:rsidR="00614217" w:rsidRPr="00C57B84" w:rsidRDefault="00614217" w:rsidP="00614217">
      <w:pPr>
        <w:spacing w:line="276" w:lineRule="auto"/>
        <w:jc w:val="both"/>
        <w:rPr>
          <w:rFonts w:ascii="Bookman Old Style" w:hAnsi="Bookman Old Style" w:cs="Times New Roman"/>
          <w:sz w:val="22"/>
          <w:szCs w:val="22"/>
        </w:rPr>
      </w:pPr>
      <w:r w:rsidRPr="00C57B84">
        <w:rPr>
          <w:rFonts w:ascii="Bookman Old Style" w:hAnsi="Bookman Old Style" w:cs="Times New Roman"/>
          <w:sz w:val="22"/>
          <w:szCs w:val="22"/>
        </w:rPr>
        <w:t>2. All’articolo 33 del decreto legislativo 8 novembre 2021, n. 199, dopo il comma 2-bis è aggiunto il seguente: “3. L’energia prodotta e immessa in rete da impianti alimentati da fonti rinnovabili inseriti all’interno di configurazioni di autoconsumo diffuso, nei limiti della sola quota di energia che viene condivisa all’interno del perimetro della medesima cabina primaria di consegna, secondo le modalità indicate dal d.lgs. 199/2021 e successive disposizioni di attuazione, non assume alcuna rilevanza reddituale in quanto istantaneamente autoconsumata.”.</w:t>
      </w:r>
    </w:p>
    <w:p w14:paraId="22CE4D5F" w14:textId="77777777" w:rsidR="00614217" w:rsidRPr="00C57B84" w:rsidRDefault="00614217" w:rsidP="00614217">
      <w:pPr>
        <w:spacing w:line="276" w:lineRule="auto"/>
        <w:jc w:val="both"/>
        <w:rPr>
          <w:rFonts w:ascii="Bookman Old Style" w:hAnsi="Bookman Old Style" w:cs="Times New Roman"/>
          <w:sz w:val="22"/>
          <w:szCs w:val="22"/>
        </w:rPr>
      </w:pPr>
      <w:r w:rsidRPr="00C57B84">
        <w:rPr>
          <w:rFonts w:ascii="Bookman Old Style" w:hAnsi="Bookman Old Style" w:cs="Times New Roman"/>
          <w:sz w:val="22"/>
          <w:szCs w:val="22"/>
        </w:rPr>
        <w:t>3. All’articolo 30, comma 1, del decreto legislativo 8 novembre 2021, n. 199, alla lettera c) è aggiunto infine il seguente periodo: “In deroga alle previsioni di cui all’art. 8, comma 1, lett. b) del presente decreto, gli enti locali di cui al decreto legislativo 18 agosto 2000, n. 267 possono accedere agli strumenti di incentivazione di cui all'articolo 8 e alle compensazioni di cui all'articolo 32, comma 3, lettera a) del presente decreto anche per la quota di energia condivisa da impianti e utenze di consumo non connesse sotto la stessa cabina primaria, purché i suddetti impianti e utenze di consumo siano situate all’interno dei territori degli enti locali stessi.”.</w:t>
      </w:r>
    </w:p>
    <w:p w14:paraId="5F7AEC82" w14:textId="77777777" w:rsidR="00614217" w:rsidRPr="00C57B84" w:rsidRDefault="00614217" w:rsidP="00614217">
      <w:pPr>
        <w:spacing w:line="276" w:lineRule="auto"/>
        <w:jc w:val="both"/>
        <w:rPr>
          <w:rFonts w:ascii="Bookman Old Style" w:hAnsi="Bookman Old Style" w:cs="Times New Roman"/>
          <w:sz w:val="22"/>
          <w:szCs w:val="22"/>
        </w:rPr>
      </w:pPr>
      <w:r w:rsidRPr="00C57B84">
        <w:rPr>
          <w:rFonts w:ascii="Bookman Old Style" w:hAnsi="Bookman Old Style" w:cs="Times New Roman"/>
          <w:sz w:val="22"/>
          <w:szCs w:val="22"/>
        </w:rPr>
        <w:t xml:space="preserve">4. All’articolo 119, comma 16-bis, del decreto-legge 19 maggio 2020, n. 34, convertito, con modificazioni, dalla legge 17 luglio 2020, n. 77, sono apportate le seguenti modificazioni: </w:t>
      </w:r>
    </w:p>
    <w:p w14:paraId="09D01D82" w14:textId="77777777" w:rsidR="00614217" w:rsidRPr="00C57B84" w:rsidRDefault="00614217" w:rsidP="00614217">
      <w:pPr>
        <w:spacing w:line="276" w:lineRule="auto"/>
        <w:jc w:val="both"/>
        <w:rPr>
          <w:rFonts w:ascii="Bookman Old Style" w:hAnsi="Bookman Old Style" w:cs="Times New Roman"/>
          <w:sz w:val="22"/>
          <w:szCs w:val="22"/>
        </w:rPr>
      </w:pPr>
      <w:r w:rsidRPr="00C57B84">
        <w:rPr>
          <w:rFonts w:ascii="Bookman Old Style" w:hAnsi="Bookman Old Style" w:cs="Times New Roman"/>
          <w:sz w:val="22"/>
          <w:szCs w:val="22"/>
        </w:rPr>
        <w:t xml:space="preserve">a) le parole “fino a 200 kW” sono sostituite con le parole “fino ad 1 MW”; </w:t>
      </w:r>
    </w:p>
    <w:p w14:paraId="1008B562" w14:textId="77777777" w:rsidR="00614217" w:rsidRPr="00C57B84" w:rsidRDefault="00614217" w:rsidP="00614217">
      <w:pPr>
        <w:spacing w:line="276" w:lineRule="auto"/>
        <w:jc w:val="both"/>
        <w:rPr>
          <w:rFonts w:ascii="Bookman Old Style" w:hAnsi="Bookman Old Style" w:cs="Times New Roman"/>
          <w:sz w:val="22"/>
          <w:szCs w:val="22"/>
        </w:rPr>
      </w:pPr>
      <w:r w:rsidRPr="00C57B84">
        <w:rPr>
          <w:rFonts w:ascii="Bookman Old Style" w:hAnsi="Bookman Old Style" w:cs="Times New Roman"/>
          <w:sz w:val="22"/>
          <w:szCs w:val="22"/>
        </w:rPr>
        <w:t>b) dopo le parole “di cui all'articolo 42-bis del decreto-legge 30 dicembre 2019, n. 162, convertito, con modificazioni, dalla legge 28 febbraio 2020, n. 8” sono aggiunte le seguenti: “e di cui agli articoli 30 e 31 del decreto legislativo 8 novembre 2021, n. 199”.”</w:t>
      </w:r>
    </w:p>
    <w:p w14:paraId="39232A13" w14:textId="77777777" w:rsidR="00614217" w:rsidRPr="00C57B84" w:rsidRDefault="00614217" w:rsidP="00614217">
      <w:pPr>
        <w:spacing w:line="276" w:lineRule="auto"/>
        <w:jc w:val="center"/>
        <w:rPr>
          <w:rFonts w:ascii="Bookman Old Style" w:hAnsi="Bookman Old Style"/>
          <w:b/>
          <w:bCs/>
          <w:sz w:val="22"/>
          <w:szCs w:val="22"/>
        </w:rPr>
      </w:pPr>
    </w:p>
    <w:p w14:paraId="1511DA98" w14:textId="77777777" w:rsidR="00614217" w:rsidRPr="00FC7371" w:rsidRDefault="00614217" w:rsidP="00614217">
      <w:pPr>
        <w:spacing w:line="276" w:lineRule="auto"/>
        <w:jc w:val="center"/>
        <w:rPr>
          <w:rFonts w:ascii="Bookman Old Style" w:hAnsi="Bookman Old Style" w:cs="Times New Roman"/>
          <w:b/>
          <w:bCs/>
          <w:sz w:val="22"/>
          <w:szCs w:val="22"/>
        </w:rPr>
      </w:pPr>
      <w:r w:rsidRPr="00FC7371">
        <w:rPr>
          <w:rFonts w:ascii="Bookman Old Style" w:hAnsi="Bookman Old Style" w:cs="Times New Roman"/>
          <w:b/>
          <w:bCs/>
          <w:sz w:val="22"/>
          <w:szCs w:val="22"/>
        </w:rPr>
        <w:t>Motivazione</w:t>
      </w:r>
    </w:p>
    <w:p w14:paraId="68FBBBD4" w14:textId="77777777" w:rsidR="00614217" w:rsidRPr="00C57B84" w:rsidRDefault="00614217" w:rsidP="00614217">
      <w:pPr>
        <w:spacing w:line="276" w:lineRule="auto"/>
        <w:jc w:val="both"/>
        <w:rPr>
          <w:rFonts w:ascii="Bookman Old Style" w:hAnsi="Bookman Old Style" w:cs="Times New Roman"/>
          <w:i/>
          <w:iCs/>
          <w:sz w:val="22"/>
          <w:szCs w:val="22"/>
        </w:rPr>
      </w:pPr>
      <w:r w:rsidRPr="00C57B84">
        <w:rPr>
          <w:rFonts w:ascii="Bookman Old Style" w:hAnsi="Bookman Old Style" w:cs="Times New Roman"/>
          <w:i/>
          <w:iCs/>
          <w:sz w:val="22"/>
          <w:szCs w:val="22"/>
        </w:rPr>
        <w:t xml:space="preserve">Il tema dell’allaccio alla rete di distribuzione, </w:t>
      </w:r>
      <w:r w:rsidRPr="00C57B84">
        <w:rPr>
          <w:rFonts w:ascii="Bookman Old Style" w:hAnsi="Bookman Old Style" w:cs="Times New Roman"/>
          <w:b/>
          <w:bCs/>
          <w:i/>
          <w:iCs/>
          <w:sz w:val="22"/>
          <w:szCs w:val="22"/>
        </w:rPr>
        <w:t>di cui al comma 1</w:t>
      </w:r>
      <w:r w:rsidRPr="00C57B84">
        <w:rPr>
          <w:rFonts w:ascii="Bookman Old Style" w:hAnsi="Bookman Old Style" w:cs="Times New Roman"/>
          <w:i/>
          <w:iCs/>
          <w:sz w:val="22"/>
          <w:szCs w:val="22"/>
        </w:rPr>
        <w:t xml:space="preserve"> è centrale nella messa a terra di tutti gli investimenti locali sulle rinnovabili, in particolare rispetto ad interventi di autoconsumo e autoproduzione diffusa. In tutte le misure del PNRR, dalle infrastrutture di ricarica, alle isole verdi alle comunità energetiche, la difficoltà di avere certezza dell’allaccio </w:t>
      </w:r>
      <w:r w:rsidRPr="00C57B84">
        <w:rPr>
          <w:rFonts w:ascii="Bookman Old Style" w:hAnsi="Bookman Old Style" w:cs="Times New Roman"/>
          <w:i/>
          <w:iCs/>
          <w:sz w:val="22"/>
          <w:szCs w:val="22"/>
        </w:rPr>
        <w:lastRenderedPageBreak/>
        <w:t xml:space="preserve">alla rete sta rallentando e rischia di bloccare investimenti importanti su tutto il territorio nazionale, ma in particolare in aree a cosiddetto fallimento di mercato, in aree deboli e interne e in aree periferiche e considerate “critiche” dai distributori di rete, come ad esempio quasi la totalità della Regione Sardegna. Questi ultimi, a valere sui fondi del PNRR ricevuti allo scopo, ad esempio la misura sulle smart </w:t>
      </w:r>
      <w:proofErr w:type="spellStart"/>
      <w:r w:rsidRPr="00C57B84">
        <w:rPr>
          <w:rFonts w:ascii="Bookman Old Style" w:hAnsi="Bookman Old Style" w:cs="Times New Roman"/>
          <w:i/>
          <w:iCs/>
          <w:sz w:val="22"/>
          <w:szCs w:val="22"/>
        </w:rPr>
        <w:t>grid</w:t>
      </w:r>
      <w:proofErr w:type="spellEnd"/>
      <w:r w:rsidRPr="00C57B84">
        <w:rPr>
          <w:rFonts w:ascii="Bookman Old Style" w:hAnsi="Bookman Old Style" w:cs="Times New Roman"/>
          <w:i/>
          <w:iCs/>
          <w:sz w:val="22"/>
          <w:szCs w:val="22"/>
        </w:rPr>
        <w:t xml:space="preserve">, non hanno adeguatamente aggiornato i propri piani di investimento, per garantire l’allaccio in maniera equa mediante adeguamento della rete. Il problema assume una dimensione fortemente critica in alcuni contesti territoriali – come le isole non interconnesse – e relativamente alla misura dedicata all’autoconsumo e alle CER, per cui il mancato possesso del preventivo di connessione definitivo oggi costituisce per il GSE elemento ostativo per l’accesso all’incentivo. </w:t>
      </w:r>
    </w:p>
    <w:p w14:paraId="1C61A037" w14:textId="77777777" w:rsidR="00614217" w:rsidRPr="00C57B84" w:rsidRDefault="00614217" w:rsidP="00614217">
      <w:pPr>
        <w:spacing w:line="276" w:lineRule="auto"/>
        <w:jc w:val="both"/>
        <w:rPr>
          <w:rFonts w:ascii="Bookman Old Style" w:hAnsi="Bookman Old Style" w:cs="Times New Roman"/>
          <w:i/>
          <w:iCs/>
          <w:sz w:val="22"/>
          <w:szCs w:val="22"/>
        </w:rPr>
      </w:pPr>
      <w:r w:rsidRPr="00C57B84">
        <w:rPr>
          <w:rFonts w:ascii="Bookman Old Style" w:hAnsi="Bookman Old Style" w:cs="Times New Roman"/>
          <w:i/>
          <w:iCs/>
          <w:sz w:val="22"/>
          <w:szCs w:val="22"/>
        </w:rPr>
        <w:t xml:space="preserve">L’emendamento </w:t>
      </w:r>
      <w:r w:rsidRPr="00C57B84">
        <w:rPr>
          <w:rFonts w:ascii="Bookman Old Style" w:hAnsi="Bookman Old Style" w:cs="Times New Roman"/>
          <w:b/>
          <w:bCs/>
          <w:i/>
          <w:iCs/>
          <w:sz w:val="22"/>
          <w:szCs w:val="22"/>
        </w:rPr>
        <w:t>di cui al comma 2</w:t>
      </w:r>
      <w:r w:rsidRPr="00C57B84">
        <w:rPr>
          <w:rFonts w:ascii="Bookman Old Style" w:hAnsi="Bookman Old Style" w:cs="Times New Roman"/>
          <w:i/>
          <w:iCs/>
          <w:sz w:val="22"/>
          <w:szCs w:val="22"/>
        </w:rPr>
        <w:t xml:space="preserve"> stabilisce che la valorizzazione dell’energia prodotta e immessa in rete non rappresenta un profitto se condivisa e/o auto consumata virtualmente, a prescindere dalla tipologia di tariffa applicata a quell’energia (ritiro dedicato o altro regime), nelle configurazioni di autoconsumo diffuso di cui al Decreto di recepimento della Direttiva REDII n. 199/2021 e successivi provvedimenti attuativi. </w:t>
      </w:r>
    </w:p>
    <w:p w14:paraId="684C1C8B" w14:textId="77777777" w:rsidR="00614217" w:rsidRPr="00C57B84" w:rsidRDefault="00614217" w:rsidP="00614217">
      <w:pPr>
        <w:spacing w:line="276" w:lineRule="auto"/>
        <w:jc w:val="both"/>
        <w:rPr>
          <w:rFonts w:ascii="Bookman Old Style" w:hAnsi="Bookman Old Style" w:cs="Times New Roman"/>
          <w:i/>
          <w:iCs/>
          <w:sz w:val="22"/>
          <w:szCs w:val="22"/>
        </w:rPr>
      </w:pPr>
      <w:r w:rsidRPr="00C57B84">
        <w:rPr>
          <w:rFonts w:ascii="Bookman Old Style" w:hAnsi="Bookman Old Style" w:cs="Times New Roman"/>
          <w:i/>
          <w:iCs/>
          <w:sz w:val="22"/>
          <w:szCs w:val="22"/>
        </w:rPr>
        <w:t xml:space="preserve">L’emendamento </w:t>
      </w:r>
      <w:r w:rsidRPr="00A63482">
        <w:rPr>
          <w:rFonts w:ascii="Bookman Old Style" w:hAnsi="Bookman Old Style" w:cs="Times New Roman"/>
          <w:b/>
          <w:bCs/>
          <w:i/>
          <w:iCs/>
          <w:sz w:val="22"/>
          <w:szCs w:val="22"/>
        </w:rPr>
        <w:t>di cui al comma 3</w:t>
      </w:r>
      <w:r w:rsidRPr="00C57B84">
        <w:rPr>
          <w:rFonts w:ascii="Bookman Old Style" w:hAnsi="Bookman Old Style" w:cs="Times New Roman"/>
          <w:i/>
          <w:iCs/>
          <w:sz w:val="22"/>
          <w:szCs w:val="22"/>
        </w:rPr>
        <w:t xml:space="preserve"> mira ad eliminare i vincoli di connessione dei POD degli enti territoriali sotto la medesima cabina primaria. La pubblicazione delle aree afferenti alla stessa cabina primaria dello scorso 28 febbraio da parte dei distributori ha messo in luce alcune problematiche relative alla configurazione di autoconsumo di energia rinnovabile “a distanza”, sia per i piccoli Comuni che per i medi e grandi. Si rileva spesso la presenza di più aree di condivisione anche all’interno di Comuni sotto i 5.000 abitanti, e ciò rischia di compromettere la possibilità dei Comuni di sfruttare appieno le potenzialità delle configurazioni del D.lgs. n. 199/21 (in particolare per le configurazioni di autoconsumo di energia rinnovabile “a distanza” e di Comunità energetiche Rinnovabili). Premesso che, ai sensi del TIAD di ARERA, le aree pubblicate possono essere oggetto di revisione da parte dei distributori, la proposta emendativa sopra esposta mira in ogni caso, soprattutto qualora non dovessero essere apportate modifiche alle suddette aree, ad estendere il perimetro di condivisione di energia degli enti locali a tutto il territorio comunale, in modo tale da sfruttare appieno le potenzialità offerte dal legislatore.</w:t>
      </w:r>
    </w:p>
    <w:p w14:paraId="4AEFF409" w14:textId="77777777" w:rsidR="00614217" w:rsidRPr="00C57B84" w:rsidRDefault="00614217" w:rsidP="00614217">
      <w:pPr>
        <w:spacing w:line="276" w:lineRule="auto"/>
        <w:jc w:val="both"/>
        <w:rPr>
          <w:rFonts w:ascii="Bookman Old Style" w:hAnsi="Bookman Old Style" w:cs="Times New Roman"/>
          <w:i/>
          <w:iCs/>
          <w:sz w:val="22"/>
          <w:szCs w:val="22"/>
        </w:rPr>
      </w:pPr>
      <w:r w:rsidRPr="00C57B84">
        <w:rPr>
          <w:rFonts w:ascii="Bookman Old Style" w:hAnsi="Bookman Old Style" w:cs="Times New Roman"/>
          <w:i/>
          <w:iCs/>
          <w:sz w:val="22"/>
          <w:szCs w:val="22"/>
        </w:rPr>
        <w:t xml:space="preserve">L’emendamento, infine, </w:t>
      </w:r>
      <w:r w:rsidRPr="00C57B84">
        <w:rPr>
          <w:rFonts w:ascii="Bookman Old Style" w:hAnsi="Bookman Old Style" w:cs="Times New Roman"/>
          <w:b/>
          <w:bCs/>
          <w:i/>
          <w:iCs/>
          <w:sz w:val="22"/>
          <w:szCs w:val="22"/>
        </w:rPr>
        <w:t xml:space="preserve">di cui al comma 4 </w:t>
      </w:r>
      <w:r w:rsidRPr="00C57B84">
        <w:rPr>
          <w:rFonts w:ascii="Bookman Old Style" w:hAnsi="Bookman Old Style" w:cs="Times New Roman"/>
          <w:i/>
          <w:iCs/>
          <w:sz w:val="22"/>
          <w:szCs w:val="22"/>
        </w:rPr>
        <w:t xml:space="preserve">mira ad innalzare il “power </w:t>
      </w:r>
      <w:proofErr w:type="spellStart"/>
      <w:r w:rsidRPr="00C57B84">
        <w:rPr>
          <w:rFonts w:ascii="Bookman Old Style" w:hAnsi="Bookman Old Style" w:cs="Times New Roman"/>
          <w:i/>
          <w:iCs/>
          <w:sz w:val="22"/>
          <w:szCs w:val="22"/>
        </w:rPr>
        <w:t>cap</w:t>
      </w:r>
      <w:proofErr w:type="spellEnd"/>
      <w:r w:rsidRPr="00C57B84">
        <w:rPr>
          <w:rFonts w:ascii="Bookman Old Style" w:hAnsi="Bookman Old Style" w:cs="Times New Roman"/>
          <w:i/>
          <w:iCs/>
          <w:sz w:val="22"/>
          <w:szCs w:val="22"/>
        </w:rPr>
        <w:t>” al di sotto del quale le CER vengono considerate enti non commerciali da 200 kW ad 1 MW, in modo tale da:</w:t>
      </w:r>
    </w:p>
    <w:p w14:paraId="7271DA8D" w14:textId="77777777" w:rsidR="00614217" w:rsidRPr="00C57B84" w:rsidRDefault="00614217" w:rsidP="00614217">
      <w:pPr>
        <w:spacing w:line="276" w:lineRule="auto"/>
        <w:jc w:val="both"/>
        <w:rPr>
          <w:rFonts w:ascii="Bookman Old Style" w:hAnsi="Bookman Old Style" w:cs="Times New Roman"/>
          <w:i/>
          <w:iCs/>
          <w:sz w:val="22"/>
          <w:szCs w:val="22"/>
        </w:rPr>
      </w:pPr>
      <w:r w:rsidRPr="00C57B84">
        <w:rPr>
          <w:rFonts w:ascii="Bookman Old Style" w:hAnsi="Bookman Old Style" w:cs="Times New Roman"/>
          <w:i/>
          <w:iCs/>
          <w:sz w:val="22"/>
          <w:szCs w:val="22"/>
        </w:rPr>
        <w:t>a) aggiornare la disposizione ai massimali previsti dall’art. 8 del D.lgs. n. 199/21;</w:t>
      </w:r>
    </w:p>
    <w:p w14:paraId="14DA58E6" w14:textId="77777777" w:rsidR="00614217" w:rsidRPr="00C57B84" w:rsidRDefault="00614217" w:rsidP="00614217">
      <w:pPr>
        <w:spacing w:line="276" w:lineRule="auto"/>
        <w:jc w:val="both"/>
        <w:rPr>
          <w:rFonts w:ascii="Bookman Old Style" w:hAnsi="Bookman Old Style" w:cs="Times New Roman"/>
          <w:i/>
          <w:iCs/>
          <w:sz w:val="22"/>
          <w:szCs w:val="22"/>
        </w:rPr>
      </w:pPr>
      <w:r w:rsidRPr="00C57B84">
        <w:rPr>
          <w:rFonts w:ascii="Bookman Old Style" w:hAnsi="Bookman Old Style" w:cs="Times New Roman"/>
          <w:i/>
          <w:iCs/>
          <w:sz w:val="22"/>
          <w:szCs w:val="22"/>
        </w:rPr>
        <w:t>b) agevolare la già difficoltosa partecipazione degli enti locali all’interno delle CER, permettendo così la partecipazione dei Comuni anche all’interno di CER con potenza complessiva di impianti fino ad 1 MW. Inoltre, l’aumento fino ad 1 MW e l’inserimento del periodo “e di cui agli articoli 30 e 31 del decreto legislativo 8 novembre 2021, n. 199” anche nel secondo periodo del comma 16-bis potrebbe essere funzionale per un maggiore coinvolgimento delle PMI all’interno delle CER, in quanto, una volta entrate quali membri all’interno della Comunità, potrebbero usufruire della detrazione di cui all’art.16-bis, comma 1, lettera h), del TUIR (50%) altrimenti destinata esclusivamente alle persone fisiche - come ribadito dall’Agenzia delle Entrate all’interno della Risoluzione n. 18/E del 12 marzo 20212 - accelerando così anche il processo di decarbonizzazione e riduzione dei costi energetici delle attività industriali.</w:t>
      </w:r>
    </w:p>
    <w:p w14:paraId="179124D5" w14:textId="77777777" w:rsidR="00614217" w:rsidRDefault="00614217" w:rsidP="00614217">
      <w:pPr>
        <w:spacing w:line="276" w:lineRule="auto"/>
        <w:jc w:val="both"/>
        <w:rPr>
          <w:rFonts w:ascii="Bookman Old Style" w:hAnsi="Bookman Old Style" w:cs="Times New Roman"/>
          <w:i/>
          <w:iCs/>
          <w:sz w:val="22"/>
          <w:szCs w:val="22"/>
        </w:rPr>
      </w:pPr>
    </w:p>
    <w:p w14:paraId="49C9A9C1" w14:textId="77777777" w:rsidR="00CF059A" w:rsidRDefault="00CF059A" w:rsidP="00614217">
      <w:pPr>
        <w:spacing w:line="276" w:lineRule="auto"/>
        <w:jc w:val="both"/>
        <w:rPr>
          <w:rFonts w:ascii="Bookman Old Style" w:hAnsi="Bookman Old Style" w:cs="Times New Roman"/>
          <w:i/>
          <w:iCs/>
          <w:sz w:val="22"/>
          <w:szCs w:val="22"/>
        </w:rPr>
      </w:pPr>
    </w:p>
    <w:p w14:paraId="7F686B46" w14:textId="77777777" w:rsidR="00614217" w:rsidRDefault="00614217" w:rsidP="00043788">
      <w:pPr>
        <w:spacing w:after="160" w:line="259" w:lineRule="auto"/>
        <w:rPr>
          <w:rFonts w:ascii="Bookman Old Style" w:hAnsi="Bookman Old Style" w:cs="Times New Roman"/>
          <w:b/>
          <w:kern w:val="2"/>
          <w:sz w:val="22"/>
          <w:szCs w:val="22"/>
          <w:lang w:eastAsia="en-US"/>
          <w14:ligatures w14:val="standardContextual"/>
        </w:rPr>
      </w:pPr>
    </w:p>
    <w:p w14:paraId="6534C0DA" w14:textId="498B487B" w:rsidR="00043788" w:rsidRPr="00571E05" w:rsidRDefault="007818D0" w:rsidP="00043788">
      <w:pPr>
        <w:spacing w:after="160" w:line="259" w:lineRule="auto"/>
        <w:rPr>
          <w:rFonts w:ascii="Bookman Old Style" w:hAnsi="Bookman Old Style" w:cs="Times New Roman"/>
          <w:b/>
          <w:kern w:val="2"/>
          <w:sz w:val="22"/>
          <w:szCs w:val="22"/>
          <w:lang w:eastAsia="en-US"/>
          <w14:ligatures w14:val="standardContextual"/>
        </w:rPr>
      </w:pPr>
      <w:r w:rsidRPr="00571E05">
        <w:rPr>
          <w:rFonts w:ascii="Bookman Old Style" w:hAnsi="Bookman Old Style" w:cs="Times New Roman"/>
          <w:b/>
          <w:kern w:val="2"/>
          <w:sz w:val="22"/>
          <w:szCs w:val="22"/>
          <w:lang w:eastAsia="en-US"/>
          <w14:ligatures w14:val="standardContextual"/>
        </w:rPr>
        <w:lastRenderedPageBreak/>
        <w:t>SFALCI E POTATURE</w:t>
      </w:r>
    </w:p>
    <w:p w14:paraId="33D74842" w14:textId="77777777" w:rsidR="00043788" w:rsidRPr="00672293" w:rsidRDefault="00043788" w:rsidP="00043788">
      <w:pPr>
        <w:autoSpaceDE w:val="0"/>
        <w:autoSpaceDN w:val="0"/>
        <w:adjustRightInd w:val="0"/>
        <w:jc w:val="center"/>
        <w:rPr>
          <w:rFonts w:ascii="Bookman Old Style" w:hAnsi="Bookman Old Style" w:cs="TimesNewRomanPSMT"/>
          <w:b/>
          <w:bCs/>
          <w:i/>
          <w:iCs/>
          <w:sz w:val="22"/>
          <w:szCs w:val="22"/>
          <w:lang w:eastAsia="en-US"/>
          <w14:ligatures w14:val="standardContextual"/>
        </w:rPr>
      </w:pPr>
      <w:r w:rsidRPr="00672293">
        <w:rPr>
          <w:rFonts w:ascii="Bookman Old Style" w:hAnsi="Bookman Old Style" w:cs="TimesNewRomanPSMT"/>
          <w:b/>
          <w:bCs/>
          <w:i/>
          <w:iCs/>
          <w:sz w:val="22"/>
          <w:szCs w:val="22"/>
          <w:lang w:eastAsia="en-US"/>
          <w14:ligatures w14:val="standardContextual"/>
        </w:rPr>
        <w:t>Art. 4</w:t>
      </w:r>
      <w:r>
        <w:rPr>
          <w:rFonts w:ascii="Bookman Old Style" w:hAnsi="Bookman Old Style" w:cs="TimesNewRomanPSMT"/>
          <w:b/>
          <w:bCs/>
          <w:i/>
          <w:iCs/>
          <w:sz w:val="22"/>
          <w:szCs w:val="22"/>
          <w:lang w:eastAsia="en-US"/>
          <w14:ligatures w14:val="standardContextual"/>
        </w:rPr>
        <w:t>.</w:t>
      </w:r>
    </w:p>
    <w:p w14:paraId="64FBD661" w14:textId="77777777" w:rsidR="00043788" w:rsidRPr="00672293" w:rsidRDefault="00043788" w:rsidP="00043788">
      <w:pPr>
        <w:autoSpaceDE w:val="0"/>
        <w:autoSpaceDN w:val="0"/>
        <w:adjustRightInd w:val="0"/>
        <w:jc w:val="center"/>
        <w:rPr>
          <w:rFonts w:ascii="Bookman Old Style" w:hAnsi="Bookman Old Style" w:cs="TimesNewRomanPS-ItalicMT"/>
          <w:b/>
          <w:bCs/>
          <w:i/>
          <w:iCs/>
          <w:sz w:val="22"/>
          <w:szCs w:val="22"/>
          <w:lang w:eastAsia="en-US"/>
          <w14:ligatures w14:val="standardContextual"/>
        </w:rPr>
      </w:pPr>
      <w:r>
        <w:rPr>
          <w:rFonts w:ascii="Bookman Old Style" w:hAnsi="Bookman Old Style" w:cs="TimesNewRomanPS-ItalicMT"/>
          <w:b/>
          <w:bCs/>
          <w:i/>
          <w:iCs/>
          <w:sz w:val="22"/>
          <w:szCs w:val="22"/>
          <w:lang w:eastAsia="en-US"/>
          <w14:ligatures w14:val="standardContextual"/>
        </w:rPr>
        <w:t>(</w:t>
      </w:r>
      <w:r w:rsidRPr="00672293">
        <w:rPr>
          <w:rFonts w:ascii="Bookman Old Style" w:hAnsi="Bookman Old Style" w:cs="TimesNewRomanPS-ItalicMT"/>
          <w:b/>
          <w:bCs/>
          <w:i/>
          <w:iCs/>
          <w:sz w:val="22"/>
          <w:szCs w:val="22"/>
          <w:lang w:eastAsia="en-US"/>
          <w14:ligatures w14:val="standardContextual"/>
        </w:rPr>
        <w:t>Ulteriori disposizioni urgenti per l’economia circolare</w:t>
      </w:r>
      <w:r>
        <w:rPr>
          <w:rFonts w:ascii="Bookman Old Style" w:hAnsi="Bookman Old Style" w:cs="TimesNewRomanPS-ItalicMT"/>
          <w:b/>
          <w:bCs/>
          <w:i/>
          <w:iCs/>
          <w:sz w:val="22"/>
          <w:szCs w:val="22"/>
          <w:lang w:eastAsia="en-US"/>
          <w14:ligatures w14:val="standardContextual"/>
        </w:rPr>
        <w:t>)</w:t>
      </w:r>
    </w:p>
    <w:p w14:paraId="2C5C2F3E" w14:textId="77777777" w:rsidR="00043788" w:rsidRPr="00571E05" w:rsidRDefault="00043788" w:rsidP="00043788">
      <w:pPr>
        <w:autoSpaceDE w:val="0"/>
        <w:autoSpaceDN w:val="0"/>
        <w:adjustRightInd w:val="0"/>
        <w:jc w:val="center"/>
        <w:rPr>
          <w:rFonts w:ascii="Bookman Old Style" w:hAnsi="Bookman Old Style" w:cs="Times New Roman"/>
          <w:bCs/>
          <w:kern w:val="2"/>
          <w:sz w:val="22"/>
          <w:szCs w:val="22"/>
          <w:lang w:eastAsia="en-US"/>
          <w14:ligatures w14:val="standardContextual"/>
        </w:rPr>
      </w:pPr>
    </w:p>
    <w:p w14:paraId="678D157E" w14:textId="374398E4" w:rsidR="00043788" w:rsidRPr="00571E05" w:rsidRDefault="00043788" w:rsidP="00043788">
      <w:pPr>
        <w:spacing w:after="160" w:line="259" w:lineRule="auto"/>
        <w:jc w:val="both"/>
        <w:rPr>
          <w:rFonts w:ascii="Bookman Old Style" w:hAnsi="Bookman Old Style" w:cs="Times New Roman"/>
          <w:kern w:val="2"/>
          <w:sz w:val="22"/>
          <w:szCs w:val="22"/>
          <w:lang w:eastAsia="en-US"/>
          <w14:ligatures w14:val="standardContextual"/>
        </w:rPr>
      </w:pPr>
      <w:r w:rsidRPr="00FA6414">
        <w:rPr>
          <w:rFonts w:ascii="Bookman Old Style" w:hAnsi="Bookman Old Style" w:cs="Times New Roman"/>
          <w:bCs/>
          <w:i/>
          <w:iCs/>
          <w:kern w:val="2"/>
          <w:sz w:val="22"/>
          <w:szCs w:val="22"/>
          <w:lang w:eastAsia="en-US"/>
          <w14:ligatures w14:val="standardContextual"/>
        </w:rPr>
        <w:t>All’articolo 4, comma</w:t>
      </w:r>
      <w:r>
        <w:rPr>
          <w:rFonts w:ascii="Bookman Old Style" w:hAnsi="Bookman Old Style" w:cs="Times New Roman"/>
          <w:bCs/>
          <w:i/>
          <w:iCs/>
          <w:kern w:val="2"/>
          <w:sz w:val="22"/>
          <w:szCs w:val="22"/>
          <w:lang w:eastAsia="en-US"/>
          <w14:ligatures w14:val="standardContextual"/>
        </w:rPr>
        <w:t xml:space="preserve"> 2, </w:t>
      </w:r>
      <w:r w:rsidR="002659A2">
        <w:rPr>
          <w:rFonts w:ascii="Bookman Old Style" w:hAnsi="Bookman Old Style" w:cs="Times New Roman"/>
          <w:bCs/>
          <w:i/>
          <w:iCs/>
          <w:kern w:val="2"/>
          <w:sz w:val="22"/>
          <w:szCs w:val="22"/>
          <w:lang w:eastAsia="en-US"/>
          <w14:ligatures w14:val="standardContextual"/>
        </w:rPr>
        <w:t>la letter</w:t>
      </w:r>
      <w:r w:rsidR="00A224B2">
        <w:rPr>
          <w:rFonts w:ascii="Bookman Old Style" w:hAnsi="Bookman Old Style" w:cs="Times New Roman"/>
          <w:bCs/>
          <w:i/>
          <w:iCs/>
          <w:kern w:val="2"/>
          <w:sz w:val="22"/>
          <w:szCs w:val="22"/>
          <w:lang w:eastAsia="en-US"/>
          <w14:ligatures w14:val="standardContextual"/>
        </w:rPr>
        <w:t>a</w:t>
      </w:r>
      <w:r w:rsidR="002659A2">
        <w:rPr>
          <w:rFonts w:ascii="Bookman Old Style" w:hAnsi="Bookman Old Style" w:cs="Times New Roman"/>
          <w:bCs/>
          <w:i/>
          <w:iCs/>
          <w:kern w:val="2"/>
          <w:sz w:val="22"/>
          <w:szCs w:val="22"/>
          <w:lang w:eastAsia="en-US"/>
          <w14:ligatures w14:val="standardContextual"/>
        </w:rPr>
        <w:t xml:space="preserve"> b) è soppressa</w:t>
      </w:r>
      <w:r w:rsidR="000614C0">
        <w:rPr>
          <w:rFonts w:ascii="Bookman Old Style" w:hAnsi="Bookman Old Style" w:cs="Times New Roman"/>
          <w:bCs/>
          <w:i/>
          <w:iCs/>
          <w:kern w:val="2"/>
          <w:sz w:val="22"/>
          <w:szCs w:val="22"/>
          <w:lang w:eastAsia="en-US"/>
          <w14:ligatures w14:val="standardContextual"/>
        </w:rPr>
        <w:t>.</w:t>
      </w:r>
    </w:p>
    <w:p w14:paraId="5A195CC4" w14:textId="77777777" w:rsidR="00043788" w:rsidRPr="00571E05" w:rsidRDefault="00043788" w:rsidP="00043788">
      <w:pPr>
        <w:spacing w:after="160" w:line="259" w:lineRule="auto"/>
        <w:jc w:val="center"/>
        <w:rPr>
          <w:rFonts w:ascii="Bookman Old Style" w:hAnsi="Bookman Old Style" w:cs="Times New Roman"/>
          <w:b/>
          <w:kern w:val="2"/>
          <w:sz w:val="22"/>
          <w:szCs w:val="22"/>
          <w:lang w:eastAsia="en-US"/>
          <w14:ligatures w14:val="standardContextual"/>
        </w:rPr>
      </w:pPr>
      <w:r w:rsidRPr="00571E05">
        <w:rPr>
          <w:rFonts w:ascii="Bookman Old Style" w:hAnsi="Bookman Old Style" w:cs="Times New Roman"/>
          <w:b/>
          <w:kern w:val="2"/>
          <w:sz w:val="22"/>
          <w:szCs w:val="22"/>
          <w:lang w:eastAsia="en-US"/>
          <w14:ligatures w14:val="standardContextual"/>
        </w:rPr>
        <w:t>Motivazione</w:t>
      </w:r>
    </w:p>
    <w:p w14:paraId="1A08A9D7" w14:textId="1B5138C6"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571E05">
        <w:rPr>
          <w:rFonts w:ascii="Bookman Old Style" w:hAnsi="Bookman Old Style" w:cs="Times New Roman"/>
          <w:bCs/>
          <w:i/>
          <w:iCs/>
          <w:kern w:val="2"/>
          <w:sz w:val="22"/>
          <w:szCs w:val="22"/>
          <w:lang w:eastAsia="en-US"/>
          <w14:ligatures w14:val="standardContextual"/>
        </w:rPr>
        <w:t xml:space="preserve">L’emendamento è </w:t>
      </w:r>
      <w:r w:rsidR="00A224B2">
        <w:rPr>
          <w:rFonts w:ascii="Bookman Old Style" w:hAnsi="Bookman Old Style" w:cs="Times New Roman"/>
          <w:bCs/>
          <w:i/>
          <w:iCs/>
          <w:kern w:val="2"/>
          <w:sz w:val="22"/>
          <w:szCs w:val="22"/>
          <w:lang w:eastAsia="en-US"/>
          <w14:ligatures w14:val="standardContextual"/>
        </w:rPr>
        <w:t>necessario</w:t>
      </w:r>
      <w:r w:rsidRPr="00571E05">
        <w:rPr>
          <w:rFonts w:ascii="Bookman Old Style" w:hAnsi="Bookman Old Style" w:cs="Times New Roman"/>
          <w:bCs/>
          <w:i/>
          <w:iCs/>
          <w:kern w:val="2"/>
          <w:sz w:val="22"/>
          <w:szCs w:val="22"/>
          <w:lang w:eastAsia="en-US"/>
          <w14:ligatures w14:val="standardContextual"/>
        </w:rPr>
        <w:t xml:space="preserve"> </w:t>
      </w:r>
      <w:r w:rsidR="00A224B2">
        <w:rPr>
          <w:rFonts w:ascii="Bookman Old Style" w:hAnsi="Bookman Old Style" w:cs="Times New Roman"/>
          <w:bCs/>
          <w:i/>
          <w:iCs/>
          <w:kern w:val="2"/>
          <w:sz w:val="22"/>
          <w:szCs w:val="22"/>
          <w:lang w:eastAsia="en-US"/>
          <w14:ligatures w14:val="standardContextual"/>
        </w:rPr>
        <w:t xml:space="preserve">in quanto </w:t>
      </w:r>
      <w:r w:rsidRPr="00571E05">
        <w:rPr>
          <w:rFonts w:ascii="Bookman Old Style" w:hAnsi="Bookman Old Style" w:cs="Times New Roman"/>
          <w:bCs/>
          <w:i/>
          <w:iCs/>
          <w:kern w:val="2"/>
          <w:sz w:val="22"/>
          <w:szCs w:val="22"/>
          <w:lang w:eastAsia="en-US"/>
          <w14:ligatures w14:val="standardContextual"/>
        </w:rPr>
        <w:t>l’inserimento nell’allegato L-quinquies dei rifiuti derivanti da attività di cura e manutenzione del verde comport</w:t>
      </w:r>
      <w:r w:rsidR="000614C0">
        <w:rPr>
          <w:rFonts w:ascii="Bookman Old Style" w:hAnsi="Bookman Old Style" w:cs="Times New Roman"/>
          <w:bCs/>
          <w:i/>
          <w:iCs/>
          <w:kern w:val="2"/>
          <w:sz w:val="22"/>
          <w:szCs w:val="22"/>
          <w:lang w:eastAsia="en-US"/>
          <w14:ligatures w14:val="standardContextual"/>
        </w:rPr>
        <w:t>a</w:t>
      </w:r>
      <w:r w:rsidRPr="00571E05">
        <w:rPr>
          <w:rFonts w:ascii="Bookman Old Style" w:hAnsi="Bookman Old Style" w:cs="Times New Roman"/>
          <w:bCs/>
          <w:i/>
          <w:iCs/>
          <w:kern w:val="2"/>
          <w:sz w:val="22"/>
          <w:szCs w:val="22"/>
          <w:lang w:eastAsia="en-US"/>
          <w14:ligatures w14:val="standardContextual"/>
        </w:rPr>
        <w:t xml:space="preserve"> un aumento dei costi </w:t>
      </w:r>
      <w:r w:rsidR="00EC1D49">
        <w:rPr>
          <w:rFonts w:ascii="Bookman Old Style" w:hAnsi="Bookman Old Style" w:cs="Times New Roman"/>
          <w:bCs/>
          <w:i/>
          <w:iCs/>
          <w:kern w:val="2"/>
          <w:sz w:val="22"/>
          <w:szCs w:val="22"/>
          <w:lang w:eastAsia="en-US"/>
          <w14:ligatures w14:val="standardContextual"/>
        </w:rPr>
        <w:t xml:space="preserve">di gestione </w:t>
      </w:r>
      <w:r w:rsidRPr="00571E05">
        <w:rPr>
          <w:rFonts w:ascii="Bookman Old Style" w:hAnsi="Bookman Old Style" w:cs="Times New Roman"/>
          <w:bCs/>
          <w:i/>
          <w:iCs/>
          <w:kern w:val="2"/>
          <w:sz w:val="22"/>
          <w:szCs w:val="22"/>
          <w:lang w:eastAsia="en-US"/>
          <w14:ligatures w14:val="standardContextual"/>
        </w:rPr>
        <w:t>dei centri di raccolta comunali</w:t>
      </w:r>
      <w:r w:rsidR="00EC1D49">
        <w:rPr>
          <w:rFonts w:ascii="Bookman Old Style" w:hAnsi="Bookman Old Style" w:cs="Times New Roman"/>
          <w:bCs/>
          <w:i/>
          <w:iCs/>
          <w:kern w:val="2"/>
          <w:sz w:val="22"/>
          <w:szCs w:val="22"/>
          <w:lang w:eastAsia="en-US"/>
          <w14:ligatures w14:val="standardContextual"/>
        </w:rPr>
        <w:t xml:space="preserve"> che andrebbe a gravare sulle tariffe dell’utenza.</w:t>
      </w:r>
    </w:p>
    <w:p w14:paraId="4474E186" w14:textId="77777777" w:rsidR="00043788" w:rsidRDefault="00043788" w:rsidP="00043788">
      <w:pPr>
        <w:spacing w:after="160" w:line="259" w:lineRule="auto"/>
        <w:rPr>
          <w:rFonts w:ascii="Bookman Old Style" w:hAnsi="Bookman Old Style" w:cs="Times New Roman"/>
          <w:b/>
          <w:kern w:val="2"/>
          <w:sz w:val="22"/>
          <w:szCs w:val="22"/>
          <w:lang w:eastAsia="en-US"/>
          <w14:ligatures w14:val="standardContextual"/>
        </w:rPr>
      </w:pPr>
    </w:p>
    <w:p w14:paraId="422A608A" w14:textId="77777777" w:rsidR="00043788" w:rsidRDefault="00043788" w:rsidP="00043788">
      <w:pPr>
        <w:spacing w:after="160" w:line="259" w:lineRule="auto"/>
        <w:rPr>
          <w:rFonts w:ascii="Bookman Old Style" w:hAnsi="Bookman Old Style" w:cs="Times New Roman"/>
          <w:b/>
          <w:kern w:val="2"/>
          <w:sz w:val="22"/>
          <w:szCs w:val="22"/>
          <w:lang w:eastAsia="en-US"/>
          <w14:ligatures w14:val="standardContextual"/>
        </w:rPr>
      </w:pPr>
    </w:p>
    <w:p w14:paraId="4E27BAC4" w14:textId="77777777" w:rsidR="00043788" w:rsidRDefault="00043788" w:rsidP="00043788">
      <w:pPr>
        <w:spacing w:after="160" w:line="259" w:lineRule="auto"/>
        <w:rPr>
          <w:rFonts w:ascii="Bookman Old Style" w:hAnsi="Bookman Old Style" w:cs="Times New Roman"/>
          <w:b/>
          <w:kern w:val="2"/>
          <w:sz w:val="22"/>
          <w:szCs w:val="22"/>
          <w:lang w:eastAsia="en-US"/>
          <w14:ligatures w14:val="standardContextual"/>
        </w:rPr>
      </w:pPr>
    </w:p>
    <w:p w14:paraId="28C4DD68" w14:textId="58684DF4" w:rsidR="00043788" w:rsidRPr="00571E05" w:rsidRDefault="007818D0" w:rsidP="00043788">
      <w:pPr>
        <w:spacing w:after="160" w:line="259" w:lineRule="auto"/>
        <w:rPr>
          <w:rFonts w:ascii="Bookman Old Style" w:hAnsi="Bookman Old Style" w:cs="Times New Roman"/>
          <w:b/>
          <w:kern w:val="2"/>
          <w:sz w:val="22"/>
          <w:szCs w:val="22"/>
          <w:lang w:eastAsia="en-US"/>
          <w14:ligatures w14:val="standardContextual"/>
        </w:rPr>
      </w:pPr>
      <w:r w:rsidRPr="00571E05">
        <w:rPr>
          <w:rFonts w:ascii="Bookman Old Style" w:hAnsi="Bookman Old Style" w:cs="Times New Roman"/>
          <w:b/>
          <w:kern w:val="2"/>
          <w:sz w:val="22"/>
          <w:szCs w:val="22"/>
          <w:lang w:eastAsia="en-US"/>
          <w14:ligatures w14:val="standardContextual"/>
        </w:rPr>
        <w:t>PRIVATIVA</w:t>
      </w:r>
    </w:p>
    <w:p w14:paraId="236EAAB0" w14:textId="77777777" w:rsidR="00043788" w:rsidRPr="00672293" w:rsidRDefault="00043788" w:rsidP="00043788">
      <w:pPr>
        <w:autoSpaceDE w:val="0"/>
        <w:autoSpaceDN w:val="0"/>
        <w:adjustRightInd w:val="0"/>
        <w:jc w:val="center"/>
        <w:rPr>
          <w:rFonts w:ascii="Bookman Old Style" w:hAnsi="Bookman Old Style" w:cs="TimesNewRomanPSMT"/>
          <w:b/>
          <w:bCs/>
          <w:i/>
          <w:iCs/>
          <w:sz w:val="22"/>
          <w:szCs w:val="22"/>
          <w:lang w:eastAsia="en-US"/>
          <w14:ligatures w14:val="standardContextual"/>
        </w:rPr>
      </w:pPr>
      <w:r w:rsidRPr="00672293">
        <w:rPr>
          <w:rFonts w:ascii="Bookman Old Style" w:hAnsi="Bookman Old Style" w:cs="TimesNewRomanPSMT"/>
          <w:b/>
          <w:bCs/>
          <w:i/>
          <w:iCs/>
          <w:sz w:val="22"/>
          <w:szCs w:val="22"/>
          <w:lang w:eastAsia="en-US"/>
          <w14:ligatures w14:val="standardContextual"/>
        </w:rPr>
        <w:t>Art. 4</w:t>
      </w:r>
      <w:r>
        <w:rPr>
          <w:rFonts w:ascii="Bookman Old Style" w:hAnsi="Bookman Old Style" w:cs="TimesNewRomanPSMT"/>
          <w:b/>
          <w:bCs/>
          <w:i/>
          <w:iCs/>
          <w:sz w:val="22"/>
          <w:szCs w:val="22"/>
          <w:lang w:eastAsia="en-US"/>
          <w14:ligatures w14:val="standardContextual"/>
        </w:rPr>
        <w:t>.</w:t>
      </w:r>
    </w:p>
    <w:p w14:paraId="6796D57C" w14:textId="77777777" w:rsidR="00043788" w:rsidRPr="00672293" w:rsidRDefault="00043788" w:rsidP="00043788">
      <w:pPr>
        <w:autoSpaceDE w:val="0"/>
        <w:autoSpaceDN w:val="0"/>
        <w:adjustRightInd w:val="0"/>
        <w:jc w:val="center"/>
        <w:rPr>
          <w:rFonts w:ascii="Bookman Old Style" w:hAnsi="Bookman Old Style" w:cs="TimesNewRomanPS-ItalicMT"/>
          <w:b/>
          <w:bCs/>
          <w:i/>
          <w:iCs/>
          <w:sz w:val="22"/>
          <w:szCs w:val="22"/>
          <w:lang w:eastAsia="en-US"/>
          <w14:ligatures w14:val="standardContextual"/>
        </w:rPr>
      </w:pPr>
      <w:r>
        <w:rPr>
          <w:rFonts w:ascii="Bookman Old Style" w:hAnsi="Bookman Old Style" w:cs="TimesNewRomanPS-ItalicMT"/>
          <w:b/>
          <w:bCs/>
          <w:i/>
          <w:iCs/>
          <w:sz w:val="22"/>
          <w:szCs w:val="22"/>
          <w:lang w:eastAsia="en-US"/>
          <w14:ligatures w14:val="standardContextual"/>
        </w:rPr>
        <w:t>(</w:t>
      </w:r>
      <w:r w:rsidRPr="00672293">
        <w:rPr>
          <w:rFonts w:ascii="Bookman Old Style" w:hAnsi="Bookman Old Style" w:cs="TimesNewRomanPS-ItalicMT"/>
          <w:b/>
          <w:bCs/>
          <w:i/>
          <w:iCs/>
          <w:sz w:val="22"/>
          <w:szCs w:val="22"/>
          <w:lang w:eastAsia="en-US"/>
          <w14:ligatures w14:val="standardContextual"/>
        </w:rPr>
        <w:t>Ulteriori disposizioni urgenti per l’economia circolare</w:t>
      </w:r>
      <w:r>
        <w:rPr>
          <w:rFonts w:ascii="Bookman Old Style" w:hAnsi="Bookman Old Style" w:cs="TimesNewRomanPS-ItalicMT"/>
          <w:b/>
          <w:bCs/>
          <w:i/>
          <w:iCs/>
          <w:sz w:val="22"/>
          <w:szCs w:val="22"/>
          <w:lang w:eastAsia="en-US"/>
          <w14:ligatures w14:val="standardContextual"/>
        </w:rPr>
        <w:t>)</w:t>
      </w:r>
    </w:p>
    <w:p w14:paraId="2088F50D" w14:textId="77777777" w:rsidR="00043788" w:rsidRPr="00571E05" w:rsidRDefault="00043788" w:rsidP="00043788">
      <w:pPr>
        <w:autoSpaceDE w:val="0"/>
        <w:autoSpaceDN w:val="0"/>
        <w:adjustRightInd w:val="0"/>
        <w:jc w:val="center"/>
        <w:rPr>
          <w:rFonts w:ascii="Bookman Old Style" w:hAnsi="Bookman Old Style" w:cs="Times New Roman"/>
          <w:bCs/>
          <w:kern w:val="2"/>
          <w:sz w:val="22"/>
          <w:szCs w:val="22"/>
          <w:lang w:eastAsia="en-US"/>
          <w14:ligatures w14:val="standardContextual"/>
        </w:rPr>
      </w:pPr>
    </w:p>
    <w:p w14:paraId="412DC8FE"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FA6414">
        <w:rPr>
          <w:rFonts w:ascii="Bookman Old Style" w:hAnsi="Bookman Old Style" w:cs="Times New Roman"/>
          <w:bCs/>
          <w:i/>
          <w:iCs/>
          <w:kern w:val="2"/>
          <w:sz w:val="22"/>
          <w:szCs w:val="22"/>
          <w:lang w:eastAsia="en-US"/>
          <w14:ligatures w14:val="standardContextual"/>
        </w:rPr>
        <w:t>All’articolo 4, aggiungere infine il seguente comma:</w:t>
      </w:r>
    </w:p>
    <w:p w14:paraId="148486E0" w14:textId="4A990A1F" w:rsidR="00043788" w:rsidRPr="00571E05" w:rsidRDefault="00043788" w:rsidP="00043788">
      <w:pPr>
        <w:spacing w:after="160" w:line="259" w:lineRule="auto"/>
        <w:jc w:val="both"/>
        <w:rPr>
          <w:rFonts w:ascii="Bookman Old Style" w:hAnsi="Bookman Old Style" w:cs="Times New Roman"/>
          <w:bCs/>
          <w:kern w:val="2"/>
          <w:sz w:val="22"/>
          <w:szCs w:val="22"/>
          <w:lang w:eastAsia="en-US"/>
          <w14:ligatures w14:val="standardContextual"/>
        </w:rPr>
      </w:pPr>
      <w:r w:rsidRPr="00571E05">
        <w:rPr>
          <w:rFonts w:ascii="Bookman Old Style" w:hAnsi="Bookman Old Style" w:cs="Times New Roman"/>
          <w:bCs/>
          <w:kern w:val="2"/>
          <w:sz w:val="22"/>
          <w:szCs w:val="22"/>
          <w:lang w:eastAsia="en-US"/>
          <w14:ligatures w14:val="standardContextual"/>
        </w:rPr>
        <w:t>All'articolo 202, del</w:t>
      </w:r>
      <w:r w:rsidR="00506447">
        <w:rPr>
          <w:rFonts w:ascii="Bookman Old Style" w:hAnsi="Bookman Old Style" w:cs="Times New Roman"/>
          <w:bCs/>
          <w:kern w:val="2"/>
          <w:sz w:val="22"/>
          <w:szCs w:val="22"/>
          <w:lang w:eastAsia="en-US"/>
          <w14:ligatures w14:val="standardContextual"/>
        </w:rPr>
        <w:t xml:space="preserve"> d.lgs.</w:t>
      </w:r>
      <w:r w:rsidRPr="00571E05">
        <w:rPr>
          <w:rFonts w:ascii="Bookman Old Style" w:hAnsi="Bookman Old Style" w:cs="Times New Roman"/>
          <w:bCs/>
          <w:kern w:val="2"/>
          <w:sz w:val="22"/>
          <w:szCs w:val="22"/>
          <w:lang w:eastAsia="en-US"/>
          <w14:ligatures w14:val="standardContextual"/>
        </w:rPr>
        <w:t xml:space="preserve"> 3 aprile 2006, n. 152, sono apportate le seguenti modificazioni: </w:t>
      </w:r>
    </w:p>
    <w:p w14:paraId="3B37079B" w14:textId="25E2C69D" w:rsidR="00043788" w:rsidRPr="00571E05" w:rsidRDefault="00043788" w:rsidP="00043788">
      <w:pPr>
        <w:numPr>
          <w:ilvl w:val="0"/>
          <w:numId w:val="10"/>
        </w:numPr>
        <w:spacing w:after="160" w:line="259" w:lineRule="auto"/>
        <w:jc w:val="both"/>
        <w:rPr>
          <w:rFonts w:ascii="Bookman Old Style" w:hAnsi="Bookman Old Style" w:cs="Times New Roman"/>
          <w:bCs/>
          <w:kern w:val="2"/>
          <w:sz w:val="22"/>
          <w:szCs w:val="22"/>
          <w:lang w:eastAsia="en-US"/>
          <w14:ligatures w14:val="standardContextual"/>
        </w:rPr>
      </w:pPr>
      <w:r w:rsidRPr="00571E05">
        <w:rPr>
          <w:rFonts w:ascii="Bookman Old Style" w:hAnsi="Bookman Old Style" w:cs="Times New Roman"/>
          <w:bCs/>
          <w:kern w:val="2"/>
          <w:sz w:val="22"/>
          <w:szCs w:val="22"/>
          <w:lang w:eastAsia="en-US"/>
          <w14:ligatures w14:val="standardContextual"/>
        </w:rPr>
        <w:t xml:space="preserve">al comma 1 la parola: "aggiudica" è sostituita dalla parola " affida “, le parole “mediante gara disciplinata dai principi e dalle disposizioni comunitarie” sono sostituite dalle seguenti </w:t>
      </w:r>
      <w:r w:rsidR="00205433" w:rsidRPr="00571E05">
        <w:rPr>
          <w:rFonts w:ascii="Bookman Old Style" w:hAnsi="Bookman Old Style" w:cs="Times New Roman"/>
          <w:bCs/>
          <w:kern w:val="2"/>
          <w:sz w:val="22"/>
          <w:szCs w:val="22"/>
          <w:lang w:eastAsia="en-US"/>
          <w14:ligatures w14:val="standardContextual"/>
        </w:rPr>
        <w:t>parole”</w:t>
      </w:r>
      <w:r w:rsidRPr="00571E05">
        <w:rPr>
          <w:rFonts w:ascii="Bookman Old Style" w:hAnsi="Bookman Old Style" w:cs="Times New Roman"/>
          <w:bCs/>
          <w:kern w:val="2"/>
          <w:sz w:val="22"/>
          <w:szCs w:val="22"/>
          <w:lang w:eastAsia="en-US"/>
          <w14:ligatures w14:val="standardContextual"/>
        </w:rPr>
        <w:t xml:space="preserve"> in regime di esclusiva”, le parole: “ai criteri " sono sostituite dalle seguenti: " alle previsioni ", le parole: “113, comma 7" sono sostituite dalle seguenti: " 14, comma 1 "e le parole: “14 agosto 2000 n. 267" sono sostituite dalle seguenti: " 23 dicembre 2022 n. 201 </w:t>
      </w:r>
      <w:proofErr w:type="gramStart"/>
      <w:r w:rsidRPr="00571E05">
        <w:rPr>
          <w:rFonts w:ascii="Bookman Old Style" w:hAnsi="Bookman Old Style" w:cs="Times New Roman"/>
          <w:bCs/>
          <w:kern w:val="2"/>
          <w:sz w:val="22"/>
          <w:szCs w:val="22"/>
          <w:lang w:eastAsia="en-US"/>
          <w14:ligatures w14:val="standardContextual"/>
        </w:rPr>
        <w:t>“ ;</w:t>
      </w:r>
      <w:proofErr w:type="gramEnd"/>
    </w:p>
    <w:p w14:paraId="492BA30B" w14:textId="32857318" w:rsidR="00043788" w:rsidRPr="00571E05" w:rsidRDefault="00043788" w:rsidP="00043788">
      <w:pPr>
        <w:spacing w:after="160" w:line="259" w:lineRule="auto"/>
        <w:jc w:val="both"/>
        <w:rPr>
          <w:rFonts w:ascii="Bookman Old Style" w:hAnsi="Bookman Old Style" w:cs="Times New Roman"/>
          <w:bCs/>
          <w:kern w:val="2"/>
          <w:sz w:val="22"/>
          <w:szCs w:val="22"/>
          <w:lang w:eastAsia="en-US"/>
          <w14:ligatures w14:val="standardContextual"/>
        </w:rPr>
      </w:pPr>
      <w:r w:rsidRPr="00571E05">
        <w:rPr>
          <w:rFonts w:ascii="Bookman Old Style" w:hAnsi="Bookman Old Style" w:cs="Times New Roman"/>
          <w:bCs/>
          <w:kern w:val="2"/>
          <w:sz w:val="22"/>
          <w:szCs w:val="22"/>
          <w:lang w:eastAsia="en-US"/>
          <w14:ligatures w14:val="standardContextual"/>
        </w:rPr>
        <w:t xml:space="preserve">All'articolo 198, </w:t>
      </w:r>
      <w:r w:rsidR="00506447" w:rsidRPr="00571E05">
        <w:rPr>
          <w:rFonts w:ascii="Bookman Old Style" w:hAnsi="Bookman Old Style" w:cs="Times New Roman"/>
          <w:bCs/>
          <w:kern w:val="2"/>
          <w:sz w:val="22"/>
          <w:szCs w:val="22"/>
          <w:lang w:eastAsia="en-US"/>
          <w14:ligatures w14:val="standardContextual"/>
        </w:rPr>
        <w:t>del</w:t>
      </w:r>
      <w:r w:rsidR="00506447">
        <w:rPr>
          <w:rFonts w:ascii="Bookman Old Style" w:hAnsi="Bookman Old Style" w:cs="Times New Roman"/>
          <w:bCs/>
          <w:kern w:val="2"/>
          <w:sz w:val="22"/>
          <w:szCs w:val="22"/>
          <w:lang w:eastAsia="en-US"/>
          <w14:ligatures w14:val="standardContextual"/>
        </w:rPr>
        <w:t xml:space="preserve"> d.lgs.</w:t>
      </w:r>
      <w:r w:rsidR="00506447" w:rsidRPr="00571E05">
        <w:rPr>
          <w:rFonts w:ascii="Bookman Old Style" w:hAnsi="Bookman Old Style" w:cs="Times New Roman"/>
          <w:bCs/>
          <w:kern w:val="2"/>
          <w:sz w:val="22"/>
          <w:szCs w:val="22"/>
          <w:lang w:eastAsia="en-US"/>
          <w14:ligatures w14:val="standardContextual"/>
        </w:rPr>
        <w:t xml:space="preserve"> 3 aprile 2006, n. 152, </w:t>
      </w:r>
      <w:r w:rsidRPr="00571E05">
        <w:rPr>
          <w:rFonts w:ascii="Bookman Old Style" w:hAnsi="Bookman Old Style" w:cs="Times New Roman"/>
          <w:bCs/>
          <w:kern w:val="2"/>
          <w:sz w:val="22"/>
          <w:szCs w:val="22"/>
          <w:lang w:eastAsia="en-US"/>
          <w14:ligatures w14:val="standardContextual"/>
        </w:rPr>
        <w:t>sono apportate le seguenti modificazioni:</w:t>
      </w:r>
    </w:p>
    <w:p w14:paraId="2A1ABFC1" w14:textId="77777777" w:rsidR="00043788" w:rsidRPr="00571E05" w:rsidRDefault="00043788" w:rsidP="00043788">
      <w:pPr>
        <w:numPr>
          <w:ilvl w:val="0"/>
          <w:numId w:val="11"/>
        </w:numPr>
        <w:spacing w:after="160" w:line="259" w:lineRule="auto"/>
        <w:jc w:val="both"/>
        <w:rPr>
          <w:rFonts w:ascii="Bookman Old Style" w:hAnsi="Bookman Old Style" w:cs="Times New Roman"/>
          <w:bCs/>
          <w:kern w:val="2"/>
          <w:sz w:val="22"/>
          <w:szCs w:val="22"/>
          <w:lang w:eastAsia="en-US"/>
          <w14:ligatures w14:val="standardContextual"/>
        </w:rPr>
      </w:pPr>
      <w:r w:rsidRPr="00571E05">
        <w:rPr>
          <w:rFonts w:ascii="Bookman Old Style" w:hAnsi="Bookman Old Style" w:cs="Times New Roman"/>
          <w:bCs/>
          <w:kern w:val="2"/>
          <w:sz w:val="22"/>
          <w:szCs w:val="22"/>
          <w:lang w:eastAsia="en-US"/>
          <w14:ligatures w14:val="standardContextual"/>
        </w:rPr>
        <w:t>al comma 2-bis, dopo le parole “Le utenze non domestiche” è aggiunto il seguente periodo: ", in deroga al regime di esclusiva del servizio di gestione integrata dei rifiuti urbani di cui all’art. 202,"&gt;&gt;</w:t>
      </w:r>
    </w:p>
    <w:p w14:paraId="5F3B1206" w14:textId="77777777" w:rsidR="00043788" w:rsidRPr="00571E05" w:rsidRDefault="00043788" w:rsidP="00043788">
      <w:pPr>
        <w:spacing w:after="160" w:line="259" w:lineRule="auto"/>
        <w:jc w:val="center"/>
        <w:rPr>
          <w:rFonts w:ascii="Bookman Old Style" w:hAnsi="Bookman Old Style" w:cs="Times New Roman"/>
          <w:b/>
          <w:kern w:val="2"/>
          <w:sz w:val="22"/>
          <w:szCs w:val="22"/>
          <w:lang w:eastAsia="en-US"/>
          <w14:ligatures w14:val="standardContextual"/>
        </w:rPr>
      </w:pPr>
      <w:r w:rsidRPr="00571E05">
        <w:rPr>
          <w:rFonts w:ascii="Bookman Old Style" w:hAnsi="Bookman Old Style" w:cs="Times New Roman"/>
          <w:b/>
          <w:kern w:val="2"/>
          <w:sz w:val="22"/>
          <w:szCs w:val="22"/>
          <w:lang w:eastAsia="en-US"/>
          <w14:ligatures w14:val="standardContextual"/>
        </w:rPr>
        <w:t>Motivazion</w:t>
      </w:r>
      <w:r>
        <w:rPr>
          <w:rFonts w:ascii="Bookman Old Style" w:hAnsi="Bookman Old Style" w:cs="Times New Roman"/>
          <w:b/>
          <w:kern w:val="2"/>
          <w:sz w:val="22"/>
          <w:szCs w:val="22"/>
          <w:lang w:eastAsia="en-US"/>
          <w14:ligatures w14:val="standardContextual"/>
        </w:rPr>
        <w:t>e</w:t>
      </w:r>
    </w:p>
    <w:p w14:paraId="782F51E2"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571E05">
        <w:rPr>
          <w:rFonts w:ascii="Bookman Old Style" w:hAnsi="Bookman Old Style" w:cs="Times New Roman"/>
          <w:bCs/>
          <w:i/>
          <w:iCs/>
          <w:kern w:val="2"/>
          <w:sz w:val="22"/>
          <w:szCs w:val="22"/>
          <w:lang w:eastAsia="en-US"/>
          <w14:ligatures w14:val="standardContextual"/>
        </w:rPr>
        <w:t>La finalità della proposta è quella di chiarire l’ambito di azione del servizio pubblico di gestione dei rifiuti urbani dopo le modifiche dell’articolo 198 del Dlgs 3.4.2006 n. 152 -introdotte con l’articolo 1, comma 24 del Dlgs 3.9.2020 n. 116 - in materia di rifiuti prodotti dalle utenze non domestiche.</w:t>
      </w:r>
    </w:p>
    <w:p w14:paraId="4A6545E9"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571E05">
        <w:rPr>
          <w:rFonts w:ascii="Bookman Old Style" w:hAnsi="Bookman Old Style" w:cs="Times New Roman"/>
          <w:bCs/>
          <w:i/>
          <w:iCs/>
          <w:kern w:val="2"/>
          <w:sz w:val="22"/>
          <w:szCs w:val="22"/>
          <w:lang w:eastAsia="en-US"/>
          <w14:ligatures w14:val="standardContextual"/>
        </w:rPr>
        <w:t>In particolare, è necessario:</w:t>
      </w:r>
    </w:p>
    <w:p w14:paraId="2A37CA65"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571E05">
        <w:rPr>
          <w:rFonts w:ascii="Bookman Old Style" w:hAnsi="Bookman Old Style" w:cs="Times New Roman"/>
          <w:bCs/>
          <w:i/>
          <w:iCs/>
          <w:kern w:val="2"/>
          <w:sz w:val="22"/>
          <w:szCs w:val="22"/>
          <w:lang w:eastAsia="en-US"/>
          <w14:ligatures w14:val="standardContextual"/>
        </w:rPr>
        <w:t>-</w:t>
      </w:r>
      <w:r w:rsidRPr="00571E05">
        <w:rPr>
          <w:rFonts w:ascii="Bookman Old Style" w:hAnsi="Bookman Old Style" w:cs="Times New Roman"/>
          <w:bCs/>
          <w:i/>
          <w:iCs/>
          <w:kern w:val="2"/>
          <w:sz w:val="22"/>
          <w:szCs w:val="22"/>
          <w:lang w:eastAsia="en-US"/>
          <w14:ligatures w14:val="standardContextual"/>
        </w:rPr>
        <w:tab/>
        <w:t>provvedere al coordinamento delle norme riferite all’affidamento del servizio pubblico con la recente disciplina sui servizi pubblici locali;</w:t>
      </w:r>
    </w:p>
    <w:p w14:paraId="395C5ADC"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571E05">
        <w:rPr>
          <w:rFonts w:ascii="Bookman Old Style" w:hAnsi="Bookman Old Style" w:cs="Times New Roman"/>
          <w:bCs/>
          <w:i/>
          <w:iCs/>
          <w:kern w:val="2"/>
          <w:sz w:val="22"/>
          <w:szCs w:val="22"/>
          <w:lang w:eastAsia="en-US"/>
          <w14:ligatures w14:val="standardContextual"/>
        </w:rPr>
        <w:t>-</w:t>
      </w:r>
      <w:r w:rsidRPr="00571E05">
        <w:rPr>
          <w:rFonts w:ascii="Bookman Old Style" w:hAnsi="Bookman Old Style" w:cs="Times New Roman"/>
          <w:bCs/>
          <w:i/>
          <w:iCs/>
          <w:kern w:val="2"/>
          <w:sz w:val="22"/>
          <w:szCs w:val="22"/>
          <w:lang w:eastAsia="en-US"/>
          <w14:ligatures w14:val="standardContextual"/>
        </w:rPr>
        <w:tab/>
        <w:t>chiarire il perimetro entro il quale opera il servizio pubblico stante la facoltà di uscita dal servizio pubblico stabilita per le utenze non domestiche, qualificandola come deroga all’ordinario perimetro in esclusiva;</w:t>
      </w:r>
    </w:p>
    <w:p w14:paraId="27167F6B"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571E05">
        <w:rPr>
          <w:rFonts w:ascii="Bookman Old Style" w:hAnsi="Bookman Old Style" w:cs="Times New Roman"/>
          <w:bCs/>
          <w:i/>
          <w:iCs/>
          <w:kern w:val="2"/>
          <w:sz w:val="22"/>
          <w:szCs w:val="22"/>
          <w:lang w:eastAsia="en-US"/>
          <w14:ligatures w14:val="standardContextual"/>
        </w:rPr>
        <w:lastRenderedPageBreak/>
        <w:t>-</w:t>
      </w:r>
      <w:r w:rsidRPr="00571E05">
        <w:rPr>
          <w:rFonts w:ascii="Bookman Old Style" w:hAnsi="Bookman Old Style" w:cs="Times New Roman"/>
          <w:bCs/>
          <w:i/>
          <w:iCs/>
          <w:kern w:val="2"/>
          <w:sz w:val="22"/>
          <w:szCs w:val="22"/>
          <w:lang w:eastAsia="en-US"/>
          <w14:ligatures w14:val="standardContextual"/>
        </w:rPr>
        <w:tab/>
        <w:t>in considerazione che l’attuale definizione del perimetro in privativa si riferisce solamente al periodo transitorio - che termina, e in molti casi già è terminato in Italia - al momento dell’aggiudicazione del servizio da parte dell’Autorità d’Ambito Ottimale -, chiarire l’oggetto dell’affidamento in esclusiva da parte delle medesime autorità.</w:t>
      </w:r>
    </w:p>
    <w:p w14:paraId="2522E904" w14:textId="77777777" w:rsidR="00043788" w:rsidRPr="00571E05" w:rsidRDefault="00043788" w:rsidP="00043788">
      <w:pPr>
        <w:spacing w:after="160" w:line="259" w:lineRule="auto"/>
        <w:jc w:val="center"/>
        <w:rPr>
          <w:rFonts w:ascii="Bookman Old Style" w:hAnsi="Bookman Old Style" w:cs="Times New Roman"/>
          <w:b/>
          <w:kern w:val="2"/>
          <w:sz w:val="22"/>
          <w:szCs w:val="22"/>
          <w:lang w:eastAsia="en-US"/>
          <w14:ligatures w14:val="standardContextual"/>
        </w:rPr>
      </w:pPr>
    </w:p>
    <w:p w14:paraId="4751FA52" w14:textId="3035CFBA" w:rsidR="00043788" w:rsidRPr="00571E05" w:rsidRDefault="007818D0" w:rsidP="00043788">
      <w:pPr>
        <w:spacing w:after="160" w:line="259" w:lineRule="auto"/>
        <w:rPr>
          <w:rFonts w:ascii="Bookman Old Style" w:hAnsi="Bookman Old Style" w:cs="Times New Roman"/>
          <w:b/>
          <w:kern w:val="2"/>
          <w:sz w:val="22"/>
          <w:szCs w:val="22"/>
          <w:lang w:eastAsia="en-US"/>
          <w14:ligatures w14:val="standardContextual"/>
        </w:rPr>
      </w:pPr>
      <w:r w:rsidRPr="00571E05">
        <w:rPr>
          <w:rFonts w:ascii="Bookman Old Style" w:hAnsi="Bookman Old Style" w:cs="Times New Roman"/>
          <w:b/>
          <w:kern w:val="2"/>
          <w:sz w:val="22"/>
          <w:szCs w:val="22"/>
          <w:lang w:eastAsia="en-US"/>
          <w14:ligatures w14:val="standardContextual"/>
        </w:rPr>
        <w:t>COPERTURA COSTI RACCOLTA RAEE</w:t>
      </w:r>
    </w:p>
    <w:p w14:paraId="2EFCFAA6" w14:textId="77777777" w:rsidR="00043788" w:rsidRPr="00672293" w:rsidRDefault="00043788" w:rsidP="00043788">
      <w:pPr>
        <w:autoSpaceDE w:val="0"/>
        <w:autoSpaceDN w:val="0"/>
        <w:adjustRightInd w:val="0"/>
        <w:jc w:val="center"/>
        <w:rPr>
          <w:rFonts w:ascii="Bookman Old Style" w:hAnsi="Bookman Old Style" w:cs="TimesNewRomanPSMT"/>
          <w:b/>
          <w:bCs/>
          <w:i/>
          <w:iCs/>
          <w:sz w:val="22"/>
          <w:szCs w:val="22"/>
          <w:lang w:eastAsia="en-US"/>
          <w14:ligatures w14:val="standardContextual"/>
        </w:rPr>
      </w:pPr>
      <w:r w:rsidRPr="00672293">
        <w:rPr>
          <w:rFonts w:ascii="Bookman Old Style" w:hAnsi="Bookman Old Style" w:cs="TimesNewRomanPSMT"/>
          <w:b/>
          <w:bCs/>
          <w:i/>
          <w:iCs/>
          <w:sz w:val="22"/>
          <w:szCs w:val="22"/>
          <w:lang w:eastAsia="en-US"/>
          <w14:ligatures w14:val="standardContextual"/>
        </w:rPr>
        <w:t>Art. 4</w:t>
      </w:r>
      <w:r>
        <w:rPr>
          <w:rFonts w:ascii="Bookman Old Style" w:hAnsi="Bookman Old Style" w:cs="TimesNewRomanPSMT"/>
          <w:b/>
          <w:bCs/>
          <w:i/>
          <w:iCs/>
          <w:sz w:val="22"/>
          <w:szCs w:val="22"/>
          <w:lang w:eastAsia="en-US"/>
          <w14:ligatures w14:val="standardContextual"/>
        </w:rPr>
        <w:t>.</w:t>
      </w:r>
    </w:p>
    <w:p w14:paraId="3A288A7F" w14:textId="77777777" w:rsidR="00043788" w:rsidRPr="00672293" w:rsidRDefault="00043788" w:rsidP="00043788">
      <w:pPr>
        <w:autoSpaceDE w:val="0"/>
        <w:autoSpaceDN w:val="0"/>
        <w:adjustRightInd w:val="0"/>
        <w:jc w:val="center"/>
        <w:rPr>
          <w:rFonts w:ascii="Bookman Old Style" w:hAnsi="Bookman Old Style" w:cs="TimesNewRomanPS-ItalicMT"/>
          <w:b/>
          <w:bCs/>
          <w:i/>
          <w:iCs/>
          <w:sz w:val="22"/>
          <w:szCs w:val="22"/>
          <w:lang w:eastAsia="en-US"/>
          <w14:ligatures w14:val="standardContextual"/>
        </w:rPr>
      </w:pPr>
      <w:r>
        <w:rPr>
          <w:rFonts w:ascii="Bookman Old Style" w:hAnsi="Bookman Old Style" w:cs="TimesNewRomanPS-ItalicMT"/>
          <w:b/>
          <w:bCs/>
          <w:i/>
          <w:iCs/>
          <w:sz w:val="22"/>
          <w:szCs w:val="22"/>
          <w:lang w:eastAsia="en-US"/>
          <w14:ligatures w14:val="standardContextual"/>
        </w:rPr>
        <w:t>(</w:t>
      </w:r>
      <w:r w:rsidRPr="00672293">
        <w:rPr>
          <w:rFonts w:ascii="Bookman Old Style" w:hAnsi="Bookman Old Style" w:cs="TimesNewRomanPS-ItalicMT"/>
          <w:b/>
          <w:bCs/>
          <w:i/>
          <w:iCs/>
          <w:sz w:val="22"/>
          <w:szCs w:val="22"/>
          <w:lang w:eastAsia="en-US"/>
          <w14:ligatures w14:val="standardContextual"/>
        </w:rPr>
        <w:t>Ulteriori disposizioni urgenti per l’economia circolare</w:t>
      </w:r>
      <w:r>
        <w:rPr>
          <w:rFonts w:ascii="Bookman Old Style" w:hAnsi="Bookman Old Style" w:cs="TimesNewRomanPS-ItalicMT"/>
          <w:b/>
          <w:bCs/>
          <w:i/>
          <w:iCs/>
          <w:sz w:val="22"/>
          <w:szCs w:val="22"/>
          <w:lang w:eastAsia="en-US"/>
          <w14:ligatures w14:val="standardContextual"/>
        </w:rPr>
        <w:t>)</w:t>
      </w:r>
    </w:p>
    <w:p w14:paraId="4055FBF5" w14:textId="77777777" w:rsidR="00043788" w:rsidRPr="00571E05" w:rsidRDefault="00043788" w:rsidP="00043788">
      <w:pPr>
        <w:autoSpaceDE w:val="0"/>
        <w:autoSpaceDN w:val="0"/>
        <w:adjustRightInd w:val="0"/>
        <w:jc w:val="center"/>
        <w:rPr>
          <w:rFonts w:ascii="Bookman Old Style" w:hAnsi="Bookman Old Style" w:cs="Times New Roman"/>
          <w:bCs/>
          <w:kern w:val="2"/>
          <w:sz w:val="22"/>
          <w:szCs w:val="22"/>
          <w:lang w:eastAsia="en-US"/>
          <w14:ligatures w14:val="standardContextual"/>
        </w:rPr>
      </w:pPr>
    </w:p>
    <w:p w14:paraId="3DAFCD55" w14:textId="77777777" w:rsidR="00043788" w:rsidRPr="00571E05" w:rsidRDefault="00043788" w:rsidP="00043788">
      <w:pPr>
        <w:autoSpaceDE w:val="0"/>
        <w:autoSpaceDN w:val="0"/>
        <w:adjustRightInd w:val="0"/>
        <w:jc w:val="center"/>
        <w:rPr>
          <w:rFonts w:ascii="Bookman Old Style" w:hAnsi="Bookman Old Style" w:cs="Times New Roman"/>
          <w:bCs/>
          <w:kern w:val="2"/>
          <w:sz w:val="22"/>
          <w:szCs w:val="22"/>
          <w:lang w:eastAsia="en-US"/>
          <w14:ligatures w14:val="standardContextual"/>
        </w:rPr>
      </w:pPr>
    </w:p>
    <w:p w14:paraId="1C64FBDD"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FA6414">
        <w:rPr>
          <w:rFonts w:ascii="Bookman Old Style" w:hAnsi="Bookman Old Style" w:cs="Times New Roman"/>
          <w:bCs/>
          <w:i/>
          <w:iCs/>
          <w:kern w:val="2"/>
          <w:sz w:val="22"/>
          <w:szCs w:val="22"/>
          <w:lang w:eastAsia="en-US"/>
          <w14:ligatures w14:val="standardContextual"/>
        </w:rPr>
        <w:t>All’articolo 4, aggiungere infine il seguente comma:</w:t>
      </w:r>
    </w:p>
    <w:p w14:paraId="691F19C9" w14:textId="77777777" w:rsidR="00043788" w:rsidRPr="00571E05" w:rsidRDefault="00043788" w:rsidP="00043788">
      <w:pPr>
        <w:spacing w:after="160" w:line="259" w:lineRule="auto"/>
        <w:jc w:val="center"/>
        <w:rPr>
          <w:rFonts w:ascii="Bookman Old Style" w:hAnsi="Bookman Old Style" w:cs="Times New Roman"/>
          <w:b/>
          <w:kern w:val="2"/>
          <w:sz w:val="22"/>
          <w:szCs w:val="22"/>
          <w:lang w:eastAsia="en-US"/>
          <w14:ligatures w14:val="standardContextual"/>
        </w:rPr>
      </w:pPr>
    </w:p>
    <w:p w14:paraId="692D1F51" w14:textId="03E209E4" w:rsidR="00043788" w:rsidRPr="00571E05" w:rsidRDefault="007232D3" w:rsidP="00043788">
      <w:pPr>
        <w:spacing w:after="160" w:line="259" w:lineRule="auto"/>
        <w:jc w:val="both"/>
        <w:rPr>
          <w:rFonts w:ascii="Bookman Old Style" w:hAnsi="Bookman Old Style" w:cs="Times New Roman"/>
          <w:bCs/>
          <w:kern w:val="2"/>
          <w:sz w:val="22"/>
          <w:szCs w:val="22"/>
          <w:lang w:eastAsia="en-US"/>
          <w14:ligatures w14:val="standardContextual"/>
        </w:rPr>
      </w:pPr>
      <w:r>
        <w:rPr>
          <w:rFonts w:ascii="Bookman Old Style" w:hAnsi="Bookman Old Style" w:cs="Times New Roman"/>
          <w:bCs/>
          <w:kern w:val="2"/>
          <w:sz w:val="22"/>
          <w:szCs w:val="22"/>
          <w:lang w:eastAsia="en-US"/>
          <w14:ligatures w14:val="standardContextual"/>
        </w:rPr>
        <w:t>“</w:t>
      </w:r>
      <w:r w:rsidR="00043788" w:rsidRPr="00571E05">
        <w:rPr>
          <w:rFonts w:ascii="Bookman Old Style" w:hAnsi="Bookman Old Style" w:cs="Times New Roman"/>
          <w:bCs/>
          <w:kern w:val="2"/>
          <w:sz w:val="22"/>
          <w:szCs w:val="22"/>
          <w:lang w:eastAsia="en-US"/>
          <w14:ligatures w14:val="standardContextual"/>
        </w:rPr>
        <w:t>Al Decreto Legislativo n. 49 del 14 marzo 2014 sono apportate le seguenti modificazioni:</w:t>
      </w:r>
    </w:p>
    <w:p w14:paraId="03174477" w14:textId="6EE85CF7" w:rsidR="00043788" w:rsidRPr="00571E05" w:rsidRDefault="00043788" w:rsidP="00043788">
      <w:pPr>
        <w:numPr>
          <w:ilvl w:val="0"/>
          <w:numId w:val="4"/>
        </w:numPr>
        <w:spacing w:after="160" w:line="259" w:lineRule="auto"/>
        <w:jc w:val="both"/>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kern w:val="2"/>
          <w:sz w:val="22"/>
          <w:szCs w:val="22"/>
          <w:lang w:eastAsia="en-US"/>
          <w14:ligatures w14:val="standardContextual"/>
        </w:rPr>
        <w:t xml:space="preserve">All’art. </w:t>
      </w:r>
      <w:r w:rsidR="002D204F" w:rsidRPr="00571E05">
        <w:rPr>
          <w:rFonts w:ascii="Bookman Old Style" w:hAnsi="Bookman Old Style" w:cs="Times New Roman"/>
          <w:bCs/>
          <w:kern w:val="2"/>
          <w:sz w:val="22"/>
          <w:szCs w:val="22"/>
          <w:lang w:eastAsia="en-US"/>
          <w14:ligatures w14:val="standardContextual"/>
        </w:rPr>
        <w:t>8 il</w:t>
      </w:r>
      <w:r w:rsidRPr="00571E05">
        <w:rPr>
          <w:rFonts w:ascii="Bookman Old Style" w:hAnsi="Bookman Old Style" w:cs="Times New Roman"/>
          <w:bCs/>
          <w:kern w:val="2"/>
          <w:sz w:val="22"/>
          <w:szCs w:val="22"/>
          <w:lang w:eastAsia="en-US"/>
          <w14:ligatures w14:val="standardContextual"/>
        </w:rPr>
        <w:t xml:space="preserve"> comma 3 dopo le parole “</w:t>
      </w:r>
      <w:r w:rsidR="002D204F" w:rsidRPr="00571E05">
        <w:rPr>
          <w:rFonts w:ascii="Bookman Old Style" w:hAnsi="Bookman Old Style" w:cs="Times New Roman"/>
          <w:bCs/>
          <w:i/>
          <w:iCs/>
          <w:kern w:val="2"/>
          <w:sz w:val="22"/>
          <w:szCs w:val="22"/>
          <w:lang w:eastAsia="en-US"/>
          <w14:ligatures w14:val="standardContextual"/>
        </w:rPr>
        <w:t>agli obblighi di</w:t>
      </w:r>
      <w:r w:rsidRPr="00571E05">
        <w:rPr>
          <w:rFonts w:ascii="Bookman Old Style" w:hAnsi="Bookman Old Style" w:cs="Times New Roman"/>
          <w:bCs/>
          <w:kern w:val="2"/>
          <w:sz w:val="22"/>
          <w:szCs w:val="22"/>
          <w:lang w:eastAsia="en-US"/>
          <w14:ligatures w14:val="standardContextual"/>
        </w:rPr>
        <w:t>” è inserita la seguente: “</w:t>
      </w:r>
      <w:r w:rsidRPr="00571E05">
        <w:rPr>
          <w:rFonts w:ascii="Bookman Old Style" w:hAnsi="Bookman Old Style" w:cs="Times New Roman"/>
          <w:bCs/>
          <w:i/>
          <w:iCs/>
          <w:kern w:val="2"/>
          <w:sz w:val="22"/>
          <w:szCs w:val="22"/>
          <w:lang w:eastAsia="en-US"/>
          <w14:ligatures w14:val="standardContextual"/>
        </w:rPr>
        <w:t>comunicazione</w:t>
      </w:r>
      <w:r w:rsidRPr="00571E05">
        <w:rPr>
          <w:rFonts w:ascii="Bookman Old Style" w:hAnsi="Bookman Old Style" w:cs="Times New Roman"/>
          <w:bCs/>
          <w:kern w:val="2"/>
          <w:sz w:val="22"/>
          <w:szCs w:val="22"/>
          <w:lang w:eastAsia="en-US"/>
          <w14:ligatures w14:val="standardContextual"/>
        </w:rPr>
        <w:t>”, dopo la parola “raccolta” è inserita la seguente: “, stoccaggio”, le parole “</w:t>
      </w:r>
      <w:r w:rsidRPr="00571E05">
        <w:rPr>
          <w:rFonts w:ascii="Bookman Old Style" w:hAnsi="Bookman Old Style" w:cs="Times New Roman"/>
          <w:bCs/>
          <w:i/>
          <w:iCs/>
          <w:kern w:val="2"/>
          <w:sz w:val="22"/>
          <w:szCs w:val="22"/>
          <w:lang w:eastAsia="en-US"/>
          <w14:ligatures w14:val="standardContextual"/>
        </w:rPr>
        <w:t>la migliore stima dei costi effettivamente sostenuti.</w:t>
      </w:r>
      <w:r w:rsidRPr="00571E05">
        <w:rPr>
          <w:rFonts w:ascii="Bookman Old Style" w:hAnsi="Bookman Old Style" w:cs="Times New Roman"/>
          <w:bCs/>
          <w:kern w:val="2"/>
          <w:sz w:val="22"/>
          <w:szCs w:val="22"/>
          <w:lang w:eastAsia="en-US"/>
          <w14:ligatures w14:val="standardContextual"/>
        </w:rPr>
        <w:t xml:space="preserve">” sono sostituite con” </w:t>
      </w:r>
      <w:r w:rsidRPr="00571E05">
        <w:rPr>
          <w:rFonts w:ascii="Bookman Old Style" w:hAnsi="Bookman Old Style" w:cs="Times New Roman"/>
          <w:bCs/>
          <w:i/>
          <w:iCs/>
          <w:kern w:val="2"/>
          <w:sz w:val="22"/>
          <w:szCs w:val="22"/>
          <w:lang w:eastAsia="en-US"/>
          <w14:ligatures w14:val="standardContextual"/>
        </w:rPr>
        <w:t>i costi efficienti stabiliti dall’Autorità di regolazione Arera</w:t>
      </w:r>
      <w:r w:rsidRPr="00571E05">
        <w:rPr>
          <w:rFonts w:ascii="Bookman Old Style" w:hAnsi="Bookman Old Style" w:cs="Times New Roman"/>
          <w:bCs/>
          <w:kern w:val="2"/>
          <w:sz w:val="22"/>
          <w:szCs w:val="22"/>
          <w:lang w:eastAsia="en-US"/>
          <w14:ligatures w14:val="standardContextual"/>
        </w:rPr>
        <w:t>”</w:t>
      </w:r>
    </w:p>
    <w:p w14:paraId="2EAA3B22" w14:textId="77777777" w:rsidR="00043788" w:rsidRPr="00571E05" w:rsidRDefault="00043788" w:rsidP="00043788">
      <w:pPr>
        <w:numPr>
          <w:ilvl w:val="0"/>
          <w:numId w:val="4"/>
        </w:numPr>
        <w:spacing w:after="160" w:line="259" w:lineRule="auto"/>
        <w:jc w:val="both"/>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kern w:val="2"/>
          <w:sz w:val="22"/>
          <w:szCs w:val="22"/>
          <w:lang w:eastAsia="en-US"/>
          <w14:ligatures w14:val="standardContextual"/>
        </w:rPr>
        <w:t>All’art. 15 comma 3 la lettera d) è sostituita con la seguente:</w:t>
      </w:r>
    </w:p>
    <w:p w14:paraId="53AB6025" w14:textId="7CAD0313" w:rsidR="00043788" w:rsidRPr="00571E05" w:rsidRDefault="00043788" w:rsidP="00043788">
      <w:pPr>
        <w:numPr>
          <w:ilvl w:val="0"/>
          <w:numId w:val="8"/>
        </w:numPr>
        <w:spacing w:after="160" w:line="259" w:lineRule="auto"/>
        <w:jc w:val="both"/>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 xml:space="preserve">Copertura costi efficienti, ovvero gli importi che i produttori sono tenuti ad erogare ai comuni a fronte del costo di gestione della </w:t>
      </w:r>
      <w:r w:rsidR="002D204F" w:rsidRPr="00571E05">
        <w:rPr>
          <w:rFonts w:ascii="Bookman Old Style" w:hAnsi="Bookman Old Style" w:cs="Times New Roman"/>
          <w:bCs/>
          <w:i/>
          <w:kern w:val="2"/>
          <w:sz w:val="22"/>
          <w:szCs w:val="22"/>
          <w:lang w:eastAsia="en-US"/>
          <w14:ligatures w14:val="standardContextual"/>
        </w:rPr>
        <w:t xml:space="preserve">raccolta, </w:t>
      </w:r>
      <w:proofErr w:type="gramStart"/>
      <w:r w:rsidR="002D204F" w:rsidRPr="00571E05">
        <w:rPr>
          <w:rFonts w:ascii="Bookman Old Style" w:hAnsi="Bookman Old Style" w:cs="Times New Roman"/>
          <w:bCs/>
          <w:i/>
          <w:kern w:val="2"/>
          <w:sz w:val="22"/>
          <w:szCs w:val="22"/>
          <w:lang w:eastAsia="en-US"/>
          <w14:ligatures w14:val="standardContextual"/>
        </w:rPr>
        <w:t>trattamento</w:t>
      </w:r>
      <w:r w:rsidRPr="00571E05">
        <w:rPr>
          <w:rFonts w:ascii="Bookman Old Style" w:hAnsi="Bookman Old Style" w:cs="Times New Roman"/>
          <w:bCs/>
          <w:i/>
          <w:kern w:val="2"/>
          <w:sz w:val="22"/>
          <w:szCs w:val="22"/>
          <w:lang w:eastAsia="en-US"/>
          <w14:ligatures w14:val="standardContextual"/>
        </w:rPr>
        <w:t>,  recupero</w:t>
      </w:r>
      <w:proofErr w:type="gramEnd"/>
      <w:r w:rsidRPr="00571E05">
        <w:rPr>
          <w:rFonts w:ascii="Bookman Old Style" w:hAnsi="Bookman Old Style" w:cs="Times New Roman"/>
          <w:bCs/>
          <w:i/>
          <w:kern w:val="2"/>
          <w:sz w:val="22"/>
          <w:szCs w:val="22"/>
          <w:lang w:eastAsia="en-US"/>
          <w14:ligatures w14:val="standardContextual"/>
        </w:rPr>
        <w:t xml:space="preserve">  e smaltimento imposti dal presente decreto legislativo, sulla base dei quantitativi di Raee ritirati dai sistemi collettivi,  in misura  tale da non superare i costi efficienti stabiliti dall’Autorità di regolazione Arera</w:t>
      </w:r>
    </w:p>
    <w:p w14:paraId="70943F49" w14:textId="49C65126" w:rsidR="00043788" w:rsidRPr="00571E05" w:rsidRDefault="00043788" w:rsidP="00043788">
      <w:pPr>
        <w:numPr>
          <w:ilvl w:val="0"/>
          <w:numId w:val="4"/>
        </w:numPr>
        <w:spacing w:after="160" w:line="259" w:lineRule="auto"/>
        <w:jc w:val="both"/>
        <w:rPr>
          <w:rFonts w:ascii="Bookman Old Style" w:hAnsi="Bookman Old Style" w:cs="Times New Roman"/>
          <w:bCs/>
          <w:kern w:val="2"/>
          <w:sz w:val="22"/>
          <w:szCs w:val="22"/>
          <w:lang w:eastAsia="en-US"/>
          <w14:ligatures w14:val="standardContextual"/>
        </w:rPr>
      </w:pPr>
      <w:r w:rsidRPr="00571E05">
        <w:rPr>
          <w:rFonts w:ascii="Bookman Old Style" w:hAnsi="Bookman Old Style" w:cs="Times New Roman"/>
          <w:bCs/>
          <w:kern w:val="2"/>
          <w:sz w:val="22"/>
          <w:szCs w:val="22"/>
          <w:lang w:eastAsia="en-US"/>
          <w14:ligatures w14:val="standardContextual"/>
        </w:rPr>
        <w:t xml:space="preserve">All’articolo 15 comma 3 dopo la lettera </w:t>
      </w:r>
      <w:r w:rsidR="00BD38C2" w:rsidRPr="00571E05">
        <w:rPr>
          <w:rFonts w:ascii="Bookman Old Style" w:hAnsi="Bookman Old Style" w:cs="Times New Roman"/>
          <w:bCs/>
          <w:kern w:val="2"/>
          <w:sz w:val="22"/>
          <w:szCs w:val="22"/>
          <w:lang w:eastAsia="en-US"/>
          <w14:ligatures w14:val="standardContextual"/>
        </w:rPr>
        <w:t>e.</w:t>
      </w:r>
      <w:r w:rsidRPr="00571E05">
        <w:rPr>
          <w:rFonts w:ascii="Bookman Old Style" w:hAnsi="Bookman Old Style" w:cs="Times New Roman"/>
          <w:bCs/>
          <w:kern w:val="2"/>
          <w:sz w:val="22"/>
          <w:szCs w:val="22"/>
          <w:lang w:eastAsia="en-US"/>
          <w14:ligatures w14:val="standardContextual"/>
        </w:rPr>
        <w:t xml:space="preserve"> è inserita la seguente:</w:t>
      </w:r>
    </w:p>
    <w:p w14:paraId="024CB72E" w14:textId="40AD5265" w:rsidR="00043788" w:rsidRPr="00571E05" w:rsidRDefault="00043788" w:rsidP="00043788">
      <w:pPr>
        <w:numPr>
          <w:ilvl w:val="0"/>
          <w:numId w:val="9"/>
        </w:numPr>
        <w:spacing w:after="160" w:line="259" w:lineRule="auto"/>
        <w:jc w:val="both"/>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 xml:space="preserve">modalità di finanziamento </w:t>
      </w:r>
      <w:r w:rsidR="00205433" w:rsidRPr="00571E05">
        <w:rPr>
          <w:rFonts w:ascii="Bookman Old Style" w:hAnsi="Bookman Old Style" w:cs="Times New Roman"/>
          <w:bCs/>
          <w:i/>
          <w:kern w:val="2"/>
          <w:sz w:val="22"/>
          <w:szCs w:val="22"/>
          <w:lang w:eastAsia="en-US"/>
          <w14:ligatures w14:val="standardContextual"/>
        </w:rPr>
        <w:t>di campagne</w:t>
      </w:r>
      <w:r w:rsidRPr="00571E05">
        <w:rPr>
          <w:rFonts w:ascii="Bookman Old Style" w:hAnsi="Bookman Old Style" w:cs="Times New Roman"/>
          <w:bCs/>
          <w:i/>
          <w:kern w:val="2"/>
          <w:sz w:val="22"/>
          <w:szCs w:val="22"/>
          <w:lang w:eastAsia="en-US"/>
          <w14:ligatures w14:val="standardContextual"/>
        </w:rPr>
        <w:t xml:space="preserve"> di comunicazione ai cittadini</w:t>
      </w:r>
    </w:p>
    <w:p w14:paraId="541C034D" w14:textId="4C75C252" w:rsidR="00043788" w:rsidRPr="00571E05" w:rsidRDefault="00043788" w:rsidP="00043788">
      <w:pPr>
        <w:numPr>
          <w:ilvl w:val="0"/>
          <w:numId w:val="4"/>
        </w:numPr>
        <w:spacing w:after="160" w:line="259" w:lineRule="auto"/>
        <w:jc w:val="both"/>
        <w:rPr>
          <w:rFonts w:ascii="Bookman Old Style" w:hAnsi="Bookman Old Style" w:cs="Times New Roman"/>
          <w:bCs/>
          <w:kern w:val="2"/>
          <w:sz w:val="22"/>
          <w:szCs w:val="22"/>
          <w:lang w:eastAsia="en-US"/>
          <w14:ligatures w14:val="standardContextual"/>
        </w:rPr>
      </w:pPr>
      <w:r w:rsidRPr="00571E05">
        <w:rPr>
          <w:rFonts w:ascii="Bookman Old Style" w:hAnsi="Bookman Old Style" w:cs="Times New Roman"/>
          <w:bCs/>
          <w:kern w:val="2"/>
          <w:sz w:val="22"/>
          <w:szCs w:val="22"/>
          <w:lang w:eastAsia="en-US"/>
          <w14:ligatures w14:val="standardContextual"/>
        </w:rPr>
        <w:t xml:space="preserve">all’articolo 23 comma 2 dopo le parole “il finanziamento delle operazioni” sono inserite le seguenti: </w:t>
      </w:r>
      <w:r w:rsidR="00205433" w:rsidRPr="00571E05">
        <w:rPr>
          <w:rFonts w:ascii="Bookman Old Style" w:hAnsi="Bookman Old Style" w:cs="Times New Roman"/>
          <w:bCs/>
          <w:kern w:val="2"/>
          <w:sz w:val="22"/>
          <w:szCs w:val="22"/>
          <w:lang w:eastAsia="en-US"/>
          <w14:ligatures w14:val="standardContextual"/>
        </w:rPr>
        <w:t>“della</w:t>
      </w:r>
      <w:r w:rsidRPr="00571E05">
        <w:rPr>
          <w:rFonts w:ascii="Bookman Old Style" w:hAnsi="Bookman Old Style" w:cs="Times New Roman"/>
          <w:bCs/>
          <w:kern w:val="2"/>
          <w:sz w:val="22"/>
          <w:szCs w:val="22"/>
          <w:lang w:eastAsia="en-US"/>
          <w14:ligatures w14:val="standardContextual"/>
        </w:rPr>
        <w:t xml:space="preserve"> raccolta </w:t>
      </w:r>
      <w:proofErr w:type="gramStart"/>
      <w:r w:rsidRPr="00571E05">
        <w:rPr>
          <w:rFonts w:ascii="Bookman Old Style" w:hAnsi="Bookman Old Style" w:cs="Times New Roman"/>
          <w:bCs/>
          <w:kern w:val="2"/>
          <w:sz w:val="22"/>
          <w:szCs w:val="22"/>
          <w:lang w:eastAsia="en-US"/>
          <w14:ligatures w14:val="standardContextual"/>
        </w:rPr>
        <w:t>e  stoccaggio</w:t>
      </w:r>
      <w:proofErr w:type="gramEnd"/>
      <w:r w:rsidRPr="00571E05">
        <w:rPr>
          <w:rFonts w:ascii="Bookman Old Style" w:hAnsi="Bookman Old Style" w:cs="Times New Roman"/>
          <w:bCs/>
          <w:kern w:val="2"/>
          <w:sz w:val="22"/>
          <w:szCs w:val="22"/>
          <w:lang w:eastAsia="en-US"/>
          <w14:ligatures w14:val="standardContextual"/>
        </w:rPr>
        <w:t xml:space="preserve"> ivi comprese le attività inerenti i centri di raccolta nonché</w:t>
      </w:r>
      <w:r w:rsidR="007232D3">
        <w:rPr>
          <w:rFonts w:ascii="Bookman Old Style" w:hAnsi="Bookman Old Style" w:cs="Times New Roman"/>
          <w:bCs/>
          <w:kern w:val="2"/>
          <w:sz w:val="22"/>
          <w:szCs w:val="22"/>
          <w:lang w:eastAsia="en-US"/>
          <w14:ligatures w14:val="standardContextual"/>
        </w:rPr>
        <w:t>”.</w:t>
      </w:r>
    </w:p>
    <w:p w14:paraId="51B78587" w14:textId="77777777" w:rsidR="00043788" w:rsidRPr="00571E05" w:rsidRDefault="00043788" w:rsidP="00043788">
      <w:pPr>
        <w:spacing w:after="160" w:line="259" w:lineRule="auto"/>
        <w:jc w:val="center"/>
        <w:rPr>
          <w:rFonts w:ascii="Bookman Old Style" w:hAnsi="Bookman Old Style" w:cs="Times New Roman"/>
          <w:b/>
          <w:kern w:val="2"/>
          <w:sz w:val="22"/>
          <w:szCs w:val="22"/>
          <w:lang w:eastAsia="en-US"/>
          <w14:ligatures w14:val="standardContextual"/>
        </w:rPr>
      </w:pPr>
      <w:r w:rsidRPr="00571E05">
        <w:rPr>
          <w:rFonts w:ascii="Bookman Old Style" w:hAnsi="Bookman Old Style" w:cs="Times New Roman"/>
          <w:b/>
          <w:kern w:val="2"/>
          <w:sz w:val="22"/>
          <w:szCs w:val="22"/>
          <w:lang w:eastAsia="en-US"/>
          <w14:ligatures w14:val="standardContextual"/>
        </w:rPr>
        <w:t>Motivazion</w:t>
      </w:r>
      <w:r>
        <w:rPr>
          <w:rFonts w:ascii="Bookman Old Style" w:hAnsi="Bookman Old Style" w:cs="Times New Roman"/>
          <w:b/>
          <w:kern w:val="2"/>
          <w:sz w:val="22"/>
          <w:szCs w:val="22"/>
          <w:lang w:eastAsia="en-US"/>
          <w14:ligatures w14:val="standardContextual"/>
        </w:rPr>
        <w:t>e</w:t>
      </w:r>
    </w:p>
    <w:p w14:paraId="16BC0D09" w14:textId="0B9D4B6F" w:rsidR="00CF059A" w:rsidRPr="00CF059A" w:rsidRDefault="00043788" w:rsidP="00CF059A">
      <w:pPr>
        <w:spacing w:after="160" w:line="259" w:lineRule="auto"/>
        <w:jc w:val="both"/>
        <w:rPr>
          <w:rFonts w:ascii="Bookman Old Style" w:hAnsi="Bookman Old Style" w:cs="Times New Roman"/>
          <w:i/>
          <w:iCs/>
          <w:kern w:val="2"/>
          <w:sz w:val="22"/>
          <w:szCs w:val="22"/>
          <w:lang w:eastAsia="en-US"/>
          <w14:ligatures w14:val="standardContextual"/>
        </w:rPr>
      </w:pPr>
      <w:r w:rsidRPr="00571E05">
        <w:rPr>
          <w:rFonts w:ascii="Bookman Old Style" w:hAnsi="Bookman Old Style" w:cs="Times New Roman"/>
          <w:i/>
          <w:iCs/>
          <w:kern w:val="2"/>
          <w:sz w:val="22"/>
          <w:szCs w:val="22"/>
          <w:lang w:eastAsia="en-US"/>
          <w14:ligatures w14:val="standardContextual"/>
        </w:rPr>
        <w:t>L’attuale modalità di applicazione della responsabilità estesa del produttore si limita, attualmente, all’onere per i produttori di ritirare gratuitamente i Raee raccolti nei centri di raccolta e di erogare dei premi di efficienza a fronte di condizioni di buona operatività. I risultati sinora ottenuti portano a pensare che vi potrebbe essere un deciso incremento di raccolta se vi fosse la copertura integrale dei costi del servizio così come previsto dalla direttiva europea 2012/19/UE sui rifiuti di apparecchiature elettriche ed elettroniche (RAEE) (DIRETTIVA 2012/19/UE Articolo 12 Finanziamento relativo ai RAEE provenienti dai nuclei domestici al comma 2 .Tale direttiva prevede infatti che,</w:t>
      </w:r>
      <w:r>
        <w:rPr>
          <w:rFonts w:ascii="Bookman Old Style" w:hAnsi="Bookman Old Style" w:cs="Times New Roman"/>
          <w:i/>
          <w:iCs/>
          <w:kern w:val="2"/>
          <w:sz w:val="22"/>
          <w:szCs w:val="22"/>
          <w:lang w:eastAsia="en-US"/>
          <w14:ligatures w14:val="standardContextual"/>
        </w:rPr>
        <w:t xml:space="preserve"> “</w:t>
      </w:r>
      <w:r w:rsidRPr="00571E05">
        <w:rPr>
          <w:rFonts w:ascii="Bookman Old Style" w:hAnsi="Bookman Old Style" w:cs="Times New Roman"/>
          <w:i/>
          <w:iCs/>
          <w:kern w:val="2"/>
          <w:sz w:val="22"/>
          <w:szCs w:val="22"/>
          <w:lang w:eastAsia="en-US"/>
          <w14:ligatures w14:val="standardContextual"/>
        </w:rPr>
        <w:t>Se del caso, gli Stati membri possono incoraggiare i produttori a finanziare anche i costi legati alla raccolta dei RAEE dai nuclei domestici agli impianti di raccolta” La proposta è quindi perfettamente in linea con le disposizioni comunitarie.</w:t>
      </w:r>
    </w:p>
    <w:p w14:paraId="13E5BE87" w14:textId="77777777" w:rsidR="00043788" w:rsidRDefault="00043788" w:rsidP="00043788">
      <w:pPr>
        <w:spacing w:after="160" w:line="259" w:lineRule="auto"/>
        <w:rPr>
          <w:rFonts w:ascii="Bookman Old Style" w:hAnsi="Bookman Old Style" w:cs="Times New Roman"/>
          <w:kern w:val="2"/>
          <w:sz w:val="22"/>
          <w:szCs w:val="22"/>
          <w:lang w:eastAsia="en-US"/>
          <w14:ligatures w14:val="standardContextual"/>
        </w:rPr>
      </w:pPr>
    </w:p>
    <w:p w14:paraId="0243B098" w14:textId="77777777" w:rsidR="00BD38C2" w:rsidRPr="00571E05" w:rsidRDefault="00BD38C2" w:rsidP="00043788">
      <w:pPr>
        <w:spacing w:after="160" w:line="259" w:lineRule="auto"/>
        <w:rPr>
          <w:rFonts w:ascii="Bookman Old Style" w:hAnsi="Bookman Old Style" w:cs="Times New Roman"/>
          <w:kern w:val="2"/>
          <w:sz w:val="22"/>
          <w:szCs w:val="22"/>
          <w:lang w:eastAsia="en-US"/>
          <w14:ligatures w14:val="standardContextual"/>
        </w:rPr>
      </w:pPr>
    </w:p>
    <w:p w14:paraId="76A71CC5" w14:textId="77777777" w:rsidR="00043788" w:rsidRPr="00571E05" w:rsidRDefault="00043788" w:rsidP="00043788">
      <w:pPr>
        <w:spacing w:after="160" w:line="259" w:lineRule="auto"/>
        <w:jc w:val="center"/>
        <w:rPr>
          <w:rFonts w:ascii="Bookman Old Style" w:hAnsi="Bookman Old Style" w:cs="Times New Roman"/>
          <w:b/>
          <w:kern w:val="2"/>
          <w:sz w:val="22"/>
          <w:szCs w:val="22"/>
          <w:lang w:eastAsia="en-US"/>
          <w14:ligatures w14:val="standardContextual"/>
        </w:rPr>
      </w:pPr>
    </w:p>
    <w:p w14:paraId="0407AF4D" w14:textId="0038CD5C" w:rsidR="00043788" w:rsidRPr="00571E05" w:rsidRDefault="007818D0" w:rsidP="00043788">
      <w:pPr>
        <w:spacing w:after="160" w:line="259" w:lineRule="auto"/>
        <w:rPr>
          <w:rFonts w:ascii="Bookman Old Style" w:hAnsi="Bookman Old Style" w:cs="Times New Roman"/>
          <w:b/>
          <w:kern w:val="2"/>
          <w:sz w:val="22"/>
          <w:szCs w:val="22"/>
          <w:lang w:eastAsia="en-US"/>
          <w14:ligatures w14:val="standardContextual"/>
        </w:rPr>
      </w:pPr>
      <w:r w:rsidRPr="00571E05">
        <w:rPr>
          <w:rFonts w:ascii="Bookman Old Style" w:hAnsi="Bookman Old Style" w:cs="Times New Roman"/>
          <w:b/>
          <w:kern w:val="2"/>
          <w:sz w:val="22"/>
          <w:szCs w:val="22"/>
          <w:lang w:eastAsia="en-US"/>
          <w14:ligatures w14:val="standardContextual"/>
        </w:rPr>
        <w:t>CHIARIMENTI DEFINIZIONI RAEE</w:t>
      </w:r>
    </w:p>
    <w:p w14:paraId="35DCC8A8" w14:textId="77777777" w:rsidR="00043788" w:rsidRPr="00672293" w:rsidRDefault="00043788" w:rsidP="00043788">
      <w:pPr>
        <w:autoSpaceDE w:val="0"/>
        <w:autoSpaceDN w:val="0"/>
        <w:adjustRightInd w:val="0"/>
        <w:jc w:val="center"/>
        <w:rPr>
          <w:rFonts w:ascii="Bookman Old Style" w:hAnsi="Bookman Old Style" w:cs="TimesNewRomanPSMT"/>
          <w:b/>
          <w:bCs/>
          <w:i/>
          <w:iCs/>
          <w:sz w:val="22"/>
          <w:szCs w:val="22"/>
          <w:lang w:eastAsia="en-US"/>
          <w14:ligatures w14:val="standardContextual"/>
        </w:rPr>
      </w:pPr>
      <w:r w:rsidRPr="00672293">
        <w:rPr>
          <w:rFonts w:ascii="Bookman Old Style" w:hAnsi="Bookman Old Style" w:cs="TimesNewRomanPSMT"/>
          <w:b/>
          <w:bCs/>
          <w:i/>
          <w:iCs/>
          <w:sz w:val="22"/>
          <w:szCs w:val="22"/>
          <w:lang w:eastAsia="en-US"/>
          <w14:ligatures w14:val="standardContextual"/>
        </w:rPr>
        <w:t>Art. 4</w:t>
      </w:r>
      <w:r>
        <w:rPr>
          <w:rFonts w:ascii="Bookman Old Style" w:hAnsi="Bookman Old Style" w:cs="TimesNewRomanPSMT"/>
          <w:b/>
          <w:bCs/>
          <w:i/>
          <w:iCs/>
          <w:sz w:val="22"/>
          <w:szCs w:val="22"/>
          <w:lang w:eastAsia="en-US"/>
          <w14:ligatures w14:val="standardContextual"/>
        </w:rPr>
        <w:t>.</w:t>
      </w:r>
    </w:p>
    <w:p w14:paraId="720AAAE5" w14:textId="77777777" w:rsidR="00043788" w:rsidRPr="00672293" w:rsidRDefault="00043788" w:rsidP="00043788">
      <w:pPr>
        <w:autoSpaceDE w:val="0"/>
        <w:autoSpaceDN w:val="0"/>
        <w:adjustRightInd w:val="0"/>
        <w:jc w:val="center"/>
        <w:rPr>
          <w:rFonts w:ascii="Bookman Old Style" w:hAnsi="Bookman Old Style" w:cs="TimesNewRomanPS-ItalicMT"/>
          <w:b/>
          <w:bCs/>
          <w:i/>
          <w:iCs/>
          <w:sz w:val="22"/>
          <w:szCs w:val="22"/>
          <w:lang w:eastAsia="en-US"/>
          <w14:ligatures w14:val="standardContextual"/>
        </w:rPr>
      </w:pPr>
      <w:r>
        <w:rPr>
          <w:rFonts w:ascii="Bookman Old Style" w:hAnsi="Bookman Old Style" w:cs="TimesNewRomanPS-ItalicMT"/>
          <w:b/>
          <w:bCs/>
          <w:i/>
          <w:iCs/>
          <w:sz w:val="22"/>
          <w:szCs w:val="22"/>
          <w:lang w:eastAsia="en-US"/>
          <w14:ligatures w14:val="standardContextual"/>
        </w:rPr>
        <w:t>(</w:t>
      </w:r>
      <w:r w:rsidRPr="00672293">
        <w:rPr>
          <w:rFonts w:ascii="Bookman Old Style" w:hAnsi="Bookman Old Style" w:cs="TimesNewRomanPS-ItalicMT"/>
          <w:b/>
          <w:bCs/>
          <w:i/>
          <w:iCs/>
          <w:sz w:val="22"/>
          <w:szCs w:val="22"/>
          <w:lang w:eastAsia="en-US"/>
          <w14:ligatures w14:val="standardContextual"/>
        </w:rPr>
        <w:t>Ulteriori disposizioni urgenti per l’economia circolare</w:t>
      </w:r>
      <w:r>
        <w:rPr>
          <w:rFonts w:ascii="Bookman Old Style" w:hAnsi="Bookman Old Style" w:cs="TimesNewRomanPS-ItalicMT"/>
          <w:b/>
          <w:bCs/>
          <w:i/>
          <w:iCs/>
          <w:sz w:val="22"/>
          <w:szCs w:val="22"/>
          <w:lang w:eastAsia="en-US"/>
          <w14:ligatures w14:val="standardContextual"/>
        </w:rPr>
        <w:t>)</w:t>
      </w:r>
    </w:p>
    <w:p w14:paraId="1E4B198A" w14:textId="77777777" w:rsidR="00043788" w:rsidRPr="00571E05" w:rsidRDefault="00043788" w:rsidP="00043788">
      <w:pPr>
        <w:autoSpaceDE w:val="0"/>
        <w:autoSpaceDN w:val="0"/>
        <w:adjustRightInd w:val="0"/>
        <w:jc w:val="center"/>
        <w:rPr>
          <w:rFonts w:ascii="Bookman Old Style" w:hAnsi="Bookman Old Style" w:cs="Times New Roman"/>
          <w:bCs/>
          <w:kern w:val="2"/>
          <w:sz w:val="22"/>
          <w:szCs w:val="22"/>
          <w:lang w:eastAsia="en-US"/>
          <w14:ligatures w14:val="standardContextual"/>
        </w:rPr>
      </w:pPr>
    </w:p>
    <w:p w14:paraId="421F90D5" w14:textId="77777777" w:rsidR="00043788" w:rsidRPr="00571E05" w:rsidRDefault="00043788" w:rsidP="00043788">
      <w:pPr>
        <w:autoSpaceDE w:val="0"/>
        <w:autoSpaceDN w:val="0"/>
        <w:adjustRightInd w:val="0"/>
        <w:jc w:val="center"/>
        <w:rPr>
          <w:rFonts w:ascii="Bookman Old Style" w:hAnsi="Bookman Old Style" w:cs="Times New Roman"/>
          <w:bCs/>
          <w:kern w:val="2"/>
          <w:sz w:val="22"/>
          <w:szCs w:val="22"/>
          <w:lang w:eastAsia="en-US"/>
          <w14:ligatures w14:val="standardContextual"/>
        </w:rPr>
      </w:pPr>
    </w:p>
    <w:p w14:paraId="50042314"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FA6414">
        <w:rPr>
          <w:rFonts w:ascii="Bookman Old Style" w:hAnsi="Bookman Old Style" w:cs="Times New Roman"/>
          <w:bCs/>
          <w:i/>
          <w:iCs/>
          <w:kern w:val="2"/>
          <w:sz w:val="22"/>
          <w:szCs w:val="22"/>
          <w:lang w:eastAsia="en-US"/>
          <w14:ligatures w14:val="standardContextual"/>
        </w:rPr>
        <w:t>All’articolo 4, aggiungere infine il seguente comma:</w:t>
      </w:r>
    </w:p>
    <w:p w14:paraId="49C29F17" w14:textId="77777777" w:rsidR="00043788" w:rsidRPr="00571E05" w:rsidRDefault="00043788" w:rsidP="00043788">
      <w:pPr>
        <w:spacing w:after="160" w:line="259" w:lineRule="auto"/>
        <w:jc w:val="center"/>
        <w:rPr>
          <w:rFonts w:ascii="Bookman Old Style" w:hAnsi="Bookman Old Style" w:cs="Times New Roman"/>
          <w:b/>
          <w:kern w:val="2"/>
          <w:sz w:val="22"/>
          <w:szCs w:val="22"/>
          <w:lang w:eastAsia="en-US"/>
          <w14:ligatures w14:val="standardContextual"/>
        </w:rPr>
      </w:pPr>
    </w:p>
    <w:p w14:paraId="4A5E139D" w14:textId="77777777" w:rsidR="00043788" w:rsidRPr="00571E05" w:rsidRDefault="00043788" w:rsidP="00043788">
      <w:pPr>
        <w:spacing w:after="160" w:line="259" w:lineRule="auto"/>
        <w:rPr>
          <w:rFonts w:ascii="Bookman Old Style" w:hAnsi="Bookman Old Style" w:cs="Times New Roman"/>
          <w:kern w:val="2"/>
          <w:sz w:val="22"/>
          <w:szCs w:val="22"/>
          <w:lang w:eastAsia="en-US"/>
          <w14:ligatures w14:val="standardContextual"/>
        </w:rPr>
      </w:pPr>
      <w:r w:rsidRPr="00571E05">
        <w:rPr>
          <w:rFonts w:ascii="Bookman Old Style" w:hAnsi="Bookman Old Style" w:cs="Times New Roman"/>
          <w:kern w:val="2"/>
          <w:sz w:val="22"/>
          <w:szCs w:val="22"/>
          <w:lang w:eastAsia="en-US"/>
          <w14:ligatures w14:val="standardContextual"/>
        </w:rPr>
        <w:t>Al decreto legislativo 3 aprile 2006, n. 152, sono apportate le seguenti modificazioni:</w:t>
      </w:r>
    </w:p>
    <w:p w14:paraId="16235B35" w14:textId="77777777" w:rsidR="00043788" w:rsidRPr="00571E05" w:rsidRDefault="00043788" w:rsidP="00043788">
      <w:pPr>
        <w:spacing w:after="160" w:line="259" w:lineRule="auto"/>
        <w:rPr>
          <w:rFonts w:ascii="Bookman Old Style" w:hAnsi="Bookman Old Style" w:cs="Times New Roman"/>
          <w:kern w:val="2"/>
          <w:sz w:val="22"/>
          <w:szCs w:val="22"/>
          <w:lang w:eastAsia="en-US"/>
          <w14:ligatures w14:val="standardContextual"/>
        </w:rPr>
      </w:pPr>
    </w:p>
    <w:p w14:paraId="656ECCAE" w14:textId="77777777" w:rsidR="00043788" w:rsidRPr="00571E05" w:rsidRDefault="00043788" w:rsidP="00043788">
      <w:pPr>
        <w:numPr>
          <w:ilvl w:val="0"/>
          <w:numId w:val="7"/>
        </w:numPr>
        <w:spacing w:after="160" w:line="259" w:lineRule="auto"/>
        <w:rPr>
          <w:rFonts w:ascii="Bookman Old Style" w:hAnsi="Bookman Old Style" w:cs="Times New Roman"/>
          <w:kern w:val="2"/>
          <w:sz w:val="22"/>
          <w:szCs w:val="22"/>
          <w:lang w:eastAsia="en-US"/>
          <w14:ligatures w14:val="standardContextual"/>
        </w:rPr>
      </w:pPr>
      <w:r w:rsidRPr="00571E05">
        <w:rPr>
          <w:rFonts w:ascii="Bookman Old Style" w:hAnsi="Bookman Old Style" w:cs="Times New Roman"/>
          <w:kern w:val="2"/>
          <w:sz w:val="22"/>
          <w:szCs w:val="22"/>
          <w:lang w:eastAsia="en-US"/>
          <w14:ligatures w14:val="standardContextual"/>
        </w:rPr>
        <w:t>All’articolo 183, lettera b-ter) dopo il numero 2. è inserito il seguente:</w:t>
      </w:r>
    </w:p>
    <w:p w14:paraId="66AF138A" w14:textId="77777777" w:rsidR="00043788" w:rsidRPr="00571E05" w:rsidRDefault="00043788" w:rsidP="00043788">
      <w:pPr>
        <w:spacing w:after="160" w:line="259" w:lineRule="auto"/>
        <w:rPr>
          <w:rFonts w:ascii="Bookman Old Style" w:hAnsi="Bookman Old Style" w:cs="Times New Roman"/>
          <w:i/>
          <w:kern w:val="2"/>
          <w:sz w:val="22"/>
          <w:szCs w:val="22"/>
          <w:lang w:eastAsia="en-US"/>
          <w14:ligatures w14:val="standardContextual"/>
        </w:rPr>
      </w:pPr>
      <w:r w:rsidRPr="00571E05">
        <w:rPr>
          <w:rFonts w:ascii="Bookman Old Style" w:hAnsi="Bookman Old Style" w:cs="Times New Roman"/>
          <w:kern w:val="2"/>
          <w:sz w:val="22"/>
          <w:szCs w:val="22"/>
          <w:lang w:eastAsia="en-US"/>
          <w14:ligatures w14:val="standardContextual"/>
        </w:rPr>
        <w:t>«</w:t>
      </w:r>
      <w:r w:rsidRPr="00571E05">
        <w:rPr>
          <w:rFonts w:ascii="Bookman Old Style" w:hAnsi="Bookman Old Style" w:cs="Times New Roman"/>
          <w:i/>
          <w:kern w:val="2"/>
          <w:sz w:val="22"/>
          <w:szCs w:val="22"/>
          <w:lang w:eastAsia="en-US"/>
          <w14:ligatures w14:val="standardContextual"/>
        </w:rPr>
        <w:t>2-bis.</w:t>
      </w:r>
      <w:r w:rsidRPr="00571E05">
        <w:rPr>
          <w:rFonts w:ascii="Bookman Old Style" w:hAnsi="Bookman Old Style" w:cs="Times New Roman"/>
          <w:kern w:val="2"/>
          <w:sz w:val="22"/>
          <w:szCs w:val="22"/>
          <w:lang w:eastAsia="en-US"/>
          <w14:ligatures w14:val="standardContextual"/>
        </w:rPr>
        <w:t xml:space="preserve"> </w:t>
      </w:r>
      <w:r w:rsidRPr="00571E05">
        <w:rPr>
          <w:rFonts w:ascii="Bookman Old Style" w:hAnsi="Bookman Old Style" w:cs="Times New Roman"/>
          <w:i/>
          <w:kern w:val="2"/>
          <w:sz w:val="22"/>
          <w:szCs w:val="22"/>
          <w:lang w:eastAsia="en-US"/>
          <w14:ligatures w14:val="standardContextual"/>
        </w:rPr>
        <w:t>i RAEE provenienti domestici come definiti dall’articolo 4, comma 1 lettera “l”, del decreto legislativo 14 marzo 2014, n. 49, comprese le loro componenti rimosse;»</w:t>
      </w:r>
    </w:p>
    <w:p w14:paraId="658D7749" w14:textId="77777777" w:rsidR="00043788" w:rsidRPr="00571E05" w:rsidRDefault="00043788" w:rsidP="00043788">
      <w:pPr>
        <w:spacing w:after="160" w:line="259" w:lineRule="auto"/>
        <w:rPr>
          <w:rFonts w:ascii="Bookman Old Style" w:hAnsi="Bookman Old Style" w:cs="Times New Roman"/>
          <w:kern w:val="2"/>
          <w:sz w:val="22"/>
          <w:szCs w:val="22"/>
          <w:lang w:eastAsia="en-US"/>
          <w14:ligatures w14:val="standardContextual"/>
        </w:rPr>
      </w:pPr>
    </w:p>
    <w:p w14:paraId="7F2629C5" w14:textId="77777777" w:rsidR="00043788" w:rsidRPr="00571E05" w:rsidRDefault="00043788" w:rsidP="00043788">
      <w:pPr>
        <w:numPr>
          <w:ilvl w:val="0"/>
          <w:numId w:val="7"/>
        </w:numPr>
        <w:spacing w:after="160" w:line="259" w:lineRule="auto"/>
        <w:rPr>
          <w:rFonts w:ascii="Bookman Old Style" w:hAnsi="Bookman Old Style" w:cs="Times New Roman"/>
          <w:kern w:val="2"/>
          <w:sz w:val="22"/>
          <w:szCs w:val="22"/>
          <w:lang w:eastAsia="en-US"/>
          <w14:ligatures w14:val="standardContextual"/>
        </w:rPr>
      </w:pPr>
      <w:r w:rsidRPr="00571E05">
        <w:rPr>
          <w:rFonts w:ascii="Bookman Old Style" w:hAnsi="Bookman Old Style" w:cs="Times New Roman"/>
          <w:kern w:val="2"/>
          <w:sz w:val="22"/>
          <w:szCs w:val="22"/>
          <w:lang w:eastAsia="en-US"/>
          <w14:ligatures w14:val="standardContextual"/>
        </w:rPr>
        <w:t xml:space="preserve">all’allegato L-quater, Parte </w:t>
      </w:r>
      <w:proofErr w:type="gramStart"/>
      <w:r w:rsidRPr="00571E05">
        <w:rPr>
          <w:rFonts w:ascii="Bookman Old Style" w:hAnsi="Bookman Old Style" w:cs="Times New Roman"/>
          <w:kern w:val="2"/>
          <w:sz w:val="22"/>
          <w:szCs w:val="22"/>
          <w:lang w:eastAsia="en-US"/>
          <w14:ligatures w14:val="standardContextual"/>
        </w:rPr>
        <w:t>Quarta,  l’elenco</w:t>
      </w:r>
      <w:proofErr w:type="gramEnd"/>
      <w:r w:rsidRPr="00571E05">
        <w:rPr>
          <w:rFonts w:ascii="Bookman Old Style" w:hAnsi="Bookman Old Style" w:cs="Times New Roman"/>
          <w:kern w:val="2"/>
          <w:sz w:val="22"/>
          <w:szCs w:val="22"/>
          <w:lang w:eastAsia="en-US"/>
          <w14:ligatures w14:val="standardContextual"/>
        </w:rPr>
        <w:t xml:space="preserve"> dei rifiuti di cui all'articolo 183, comma 1, lettera b-ter), punto 2</w:t>
      </w:r>
      <w:r w:rsidRPr="00571E05">
        <w:rPr>
          <w:rFonts w:ascii="Bookman Old Style" w:hAnsi="Bookman Old Style" w:cs="Times New Roman"/>
          <w:i/>
          <w:kern w:val="2"/>
          <w:sz w:val="22"/>
          <w:szCs w:val="22"/>
          <w:lang w:eastAsia="en-US"/>
          <w14:ligatures w14:val="standardContextual"/>
        </w:rPr>
        <w:t xml:space="preserve"> </w:t>
      </w:r>
      <w:r w:rsidRPr="00571E05">
        <w:rPr>
          <w:rFonts w:ascii="Bookman Old Style" w:hAnsi="Bookman Old Style" w:cs="Times New Roman"/>
          <w:kern w:val="2"/>
          <w:sz w:val="22"/>
          <w:szCs w:val="22"/>
          <w:lang w:eastAsia="en-US"/>
          <w14:ligatures w14:val="standardContextual"/>
        </w:rPr>
        <w:t>è integrato con le seguenti voci:</w:t>
      </w:r>
    </w:p>
    <w:tbl>
      <w:tblPr>
        <w:tblStyle w:val="Grigliatabella"/>
        <w:tblW w:w="0" w:type="auto"/>
        <w:tblLook w:val="04A0" w:firstRow="1" w:lastRow="0" w:firstColumn="1" w:lastColumn="0" w:noHBand="0" w:noVBand="1"/>
      </w:tblPr>
      <w:tblGrid>
        <w:gridCol w:w="3397"/>
        <w:gridCol w:w="4962"/>
        <w:gridCol w:w="1269"/>
      </w:tblGrid>
      <w:tr w:rsidR="00043788" w:rsidRPr="00571E05" w14:paraId="49627002" w14:textId="77777777" w:rsidTr="006C3C0D">
        <w:tc>
          <w:tcPr>
            <w:tcW w:w="3397" w:type="dxa"/>
          </w:tcPr>
          <w:p w14:paraId="761D6D3D"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 xml:space="preserve">Componenti rimosse da AEE che danno origine a RAEE domestici come definiti dall’articolo 4, comma 1 lettera “l”, del </w:t>
            </w:r>
            <w:r w:rsidRPr="00571E05">
              <w:rPr>
                <w:rFonts w:ascii="Bookman Old Style" w:hAnsi="Bookman Old Style" w:cs="Times New Roman"/>
                <w:i/>
                <w:kern w:val="2"/>
                <w:sz w:val="22"/>
                <w:szCs w:val="22"/>
                <w:lang w:eastAsia="en-US"/>
                <w14:ligatures w14:val="standardContextual"/>
              </w:rPr>
              <w:t>decreto legislativo 14 marzo 2014 n. 49</w:t>
            </w:r>
          </w:p>
        </w:tc>
        <w:tc>
          <w:tcPr>
            <w:tcW w:w="4962" w:type="dxa"/>
          </w:tcPr>
          <w:p w14:paraId="61F4B4F8"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Componenti rimosse</w:t>
            </w:r>
          </w:p>
        </w:tc>
        <w:tc>
          <w:tcPr>
            <w:tcW w:w="1269" w:type="dxa"/>
          </w:tcPr>
          <w:p w14:paraId="03CF7905"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16.02.16</w:t>
            </w:r>
          </w:p>
        </w:tc>
      </w:tr>
      <w:tr w:rsidR="00043788" w:rsidRPr="00571E05" w14:paraId="033847F0" w14:textId="77777777" w:rsidTr="006C3C0D">
        <w:tc>
          <w:tcPr>
            <w:tcW w:w="3397" w:type="dxa"/>
            <w:vMerge w:val="restart"/>
            <w:vAlign w:val="center"/>
          </w:tcPr>
          <w:p w14:paraId="606FE999"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 xml:space="preserve">RAEE domestici come definiti dall’articolo 4, comma 1 lettera “l”, del </w:t>
            </w:r>
            <w:r w:rsidRPr="00571E05">
              <w:rPr>
                <w:rFonts w:ascii="Bookman Old Style" w:hAnsi="Bookman Old Style" w:cs="Times New Roman"/>
                <w:i/>
                <w:kern w:val="2"/>
                <w:sz w:val="22"/>
                <w:szCs w:val="22"/>
                <w:lang w:eastAsia="en-US"/>
                <w14:ligatures w14:val="standardContextual"/>
              </w:rPr>
              <w:t>decreto legislativo 14 marzo 2014 n. 49</w:t>
            </w:r>
          </w:p>
        </w:tc>
        <w:tc>
          <w:tcPr>
            <w:tcW w:w="4962" w:type="dxa"/>
          </w:tcPr>
          <w:p w14:paraId="40616980"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Tubi fluorescenti e altri rifiuti contenenti mercurio</w:t>
            </w:r>
          </w:p>
        </w:tc>
        <w:tc>
          <w:tcPr>
            <w:tcW w:w="1269" w:type="dxa"/>
          </w:tcPr>
          <w:p w14:paraId="741921F2"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20.01.21*</w:t>
            </w:r>
          </w:p>
        </w:tc>
      </w:tr>
      <w:tr w:rsidR="00043788" w:rsidRPr="00571E05" w14:paraId="4B6C3179" w14:textId="77777777" w:rsidTr="006C3C0D">
        <w:tc>
          <w:tcPr>
            <w:tcW w:w="3397" w:type="dxa"/>
            <w:vMerge/>
          </w:tcPr>
          <w:p w14:paraId="212C81F4"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p>
        </w:tc>
        <w:tc>
          <w:tcPr>
            <w:tcW w:w="4962" w:type="dxa"/>
          </w:tcPr>
          <w:p w14:paraId="43823739"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Apparecchiature fuori uso contenenti clorofluorocarburi</w:t>
            </w:r>
          </w:p>
        </w:tc>
        <w:tc>
          <w:tcPr>
            <w:tcW w:w="1269" w:type="dxa"/>
          </w:tcPr>
          <w:p w14:paraId="758D5E6B"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20.01.23*</w:t>
            </w:r>
          </w:p>
        </w:tc>
      </w:tr>
      <w:tr w:rsidR="00043788" w:rsidRPr="00571E05" w14:paraId="338058F4" w14:textId="77777777" w:rsidTr="006C3C0D">
        <w:tc>
          <w:tcPr>
            <w:tcW w:w="3397" w:type="dxa"/>
            <w:vMerge/>
          </w:tcPr>
          <w:p w14:paraId="10B2B984"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p>
        </w:tc>
        <w:tc>
          <w:tcPr>
            <w:tcW w:w="4962" w:type="dxa"/>
          </w:tcPr>
          <w:p w14:paraId="3383A62A"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 xml:space="preserve">Apparecchiature elettriche ed elettroniche fuori uso, diverse da quelle di cui alla voce 20 01 21 e 20 01 23, contenenti componenti pericolosi. </w:t>
            </w:r>
          </w:p>
          <w:p w14:paraId="5C8A6F59"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p>
          <w:p w14:paraId="45DE9E38"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Fra i componenti pericolosi di apparecchiature elettriche ed elettroniche possono rientrare gli accumulatori e le batterie di cui alle voci 16 06, contrassegnati come pericolosi; commutatori a mercurio, vetri di tubi a raggi catodici e altri vetri radioattivi ecc.</w:t>
            </w:r>
          </w:p>
        </w:tc>
        <w:tc>
          <w:tcPr>
            <w:tcW w:w="1269" w:type="dxa"/>
          </w:tcPr>
          <w:p w14:paraId="0868B1F9"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20.01.35*</w:t>
            </w:r>
          </w:p>
        </w:tc>
      </w:tr>
      <w:tr w:rsidR="00043788" w:rsidRPr="00571E05" w14:paraId="0F408F4E" w14:textId="77777777" w:rsidTr="006C3C0D">
        <w:tc>
          <w:tcPr>
            <w:tcW w:w="3397" w:type="dxa"/>
            <w:vMerge/>
          </w:tcPr>
          <w:p w14:paraId="5DE144A8"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p>
        </w:tc>
        <w:tc>
          <w:tcPr>
            <w:tcW w:w="4962" w:type="dxa"/>
          </w:tcPr>
          <w:p w14:paraId="2613CDD4"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Apparecchiature elettriche ed elettroniche fuori uso, diverse da quelle di cui alle voci 20 01 21, 20 01 23 e 20 01 35</w:t>
            </w:r>
          </w:p>
        </w:tc>
        <w:tc>
          <w:tcPr>
            <w:tcW w:w="1269" w:type="dxa"/>
          </w:tcPr>
          <w:p w14:paraId="60CC0DF6" w14:textId="77777777" w:rsidR="00043788" w:rsidRPr="00571E05" w:rsidRDefault="00043788" w:rsidP="006C3C0D">
            <w:pPr>
              <w:spacing w:after="160" w:line="259" w:lineRule="auto"/>
              <w:rPr>
                <w:rFonts w:ascii="Bookman Old Style" w:hAnsi="Bookman Old Style" w:cs="Times New Roman"/>
                <w:bCs/>
                <w:i/>
                <w:kern w:val="2"/>
                <w:sz w:val="22"/>
                <w:szCs w:val="22"/>
                <w:lang w:eastAsia="en-US"/>
                <w14:ligatures w14:val="standardContextual"/>
              </w:rPr>
            </w:pPr>
            <w:r w:rsidRPr="00571E05">
              <w:rPr>
                <w:rFonts w:ascii="Bookman Old Style" w:hAnsi="Bookman Old Style" w:cs="Times New Roman"/>
                <w:bCs/>
                <w:i/>
                <w:kern w:val="2"/>
                <w:sz w:val="22"/>
                <w:szCs w:val="22"/>
                <w:lang w:eastAsia="en-US"/>
                <w14:ligatures w14:val="standardContextual"/>
              </w:rPr>
              <w:t>20 01 36</w:t>
            </w:r>
          </w:p>
        </w:tc>
      </w:tr>
    </w:tbl>
    <w:p w14:paraId="3AC65D42" w14:textId="77777777" w:rsidR="00043788" w:rsidRPr="00571E05" w:rsidRDefault="00043788" w:rsidP="00043788">
      <w:pPr>
        <w:spacing w:after="160" w:line="259" w:lineRule="auto"/>
        <w:rPr>
          <w:rFonts w:ascii="Bookman Old Style" w:hAnsi="Bookman Old Style" w:cs="Times New Roman"/>
          <w:kern w:val="2"/>
          <w:sz w:val="22"/>
          <w:szCs w:val="22"/>
          <w:lang w:eastAsia="en-US"/>
          <w14:ligatures w14:val="standardContextual"/>
        </w:rPr>
      </w:pPr>
    </w:p>
    <w:p w14:paraId="66F4701C" w14:textId="77777777" w:rsidR="00043788" w:rsidRPr="00571E05" w:rsidRDefault="00043788" w:rsidP="00043788">
      <w:pPr>
        <w:spacing w:after="160" w:line="259" w:lineRule="auto"/>
        <w:jc w:val="center"/>
        <w:rPr>
          <w:rFonts w:ascii="Bookman Old Style" w:hAnsi="Bookman Old Style" w:cs="Times New Roman"/>
          <w:b/>
          <w:bCs/>
          <w:iCs/>
          <w:kern w:val="2"/>
          <w:sz w:val="22"/>
          <w:szCs w:val="22"/>
          <w:lang w:eastAsia="en-US"/>
          <w14:ligatures w14:val="standardContextual"/>
        </w:rPr>
      </w:pPr>
      <w:r w:rsidRPr="00571E05">
        <w:rPr>
          <w:rFonts w:ascii="Bookman Old Style" w:hAnsi="Bookman Old Style" w:cs="Times New Roman"/>
          <w:b/>
          <w:bCs/>
          <w:iCs/>
          <w:kern w:val="2"/>
          <w:sz w:val="22"/>
          <w:szCs w:val="22"/>
          <w:lang w:eastAsia="en-US"/>
          <w14:ligatures w14:val="standardContextual"/>
        </w:rPr>
        <w:t>Motivazione</w:t>
      </w:r>
    </w:p>
    <w:p w14:paraId="4A7DD8C8" w14:textId="2F122615" w:rsidR="00043788" w:rsidRPr="00571E05" w:rsidRDefault="00043788" w:rsidP="00043788">
      <w:pPr>
        <w:spacing w:after="160" w:line="259" w:lineRule="auto"/>
        <w:jc w:val="both"/>
        <w:rPr>
          <w:rFonts w:ascii="Bookman Old Style" w:hAnsi="Bookman Old Style" w:cs="Times New Roman"/>
          <w:i/>
          <w:iCs/>
          <w:kern w:val="2"/>
          <w:sz w:val="22"/>
          <w:szCs w:val="22"/>
          <w:lang w:eastAsia="en-US"/>
          <w14:ligatures w14:val="standardContextual"/>
        </w:rPr>
      </w:pPr>
      <w:r>
        <w:rPr>
          <w:rFonts w:ascii="Bookman Old Style" w:hAnsi="Bookman Old Style" w:cs="Times New Roman"/>
          <w:i/>
          <w:iCs/>
          <w:kern w:val="2"/>
          <w:sz w:val="22"/>
          <w:szCs w:val="22"/>
          <w:lang w:eastAsia="en-US"/>
          <w14:ligatures w14:val="standardContextual"/>
        </w:rPr>
        <w:t>L’emendamento è necessario p</w:t>
      </w:r>
      <w:r w:rsidRPr="00571E05">
        <w:rPr>
          <w:rFonts w:ascii="Bookman Old Style" w:hAnsi="Bookman Old Style" w:cs="Times New Roman"/>
          <w:i/>
          <w:iCs/>
          <w:kern w:val="2"/>
          <w:sz w:val="22"/>
          <w:szCs w:val="22"/>
          <w:lang w:eastAsia="en-US"/>
          <w14:ligatures w14:val="standardContextual"/>
        </w:rPr>
        <w:t xml:space="preserve">er garantire </w:t>
      </w:r>
      <w:r w:rsidR="00EF5638">
        <w:rPr>
          <w:rFonts w:ascii="Bookman Old Style" w:hAnsi="Bookman Old Style" w:cs="Times New Roman"/>
          <w:i/>
          <w:iCs/>
          <w:kern w:val="2"/>
          <w:sz w:val="22"/>
          <w:szCs w:val="22"/>
          <w:lang w:eastAsia="en-US"/>
          <w14:ligatures w14:val="standardContextual"/>
        </w:rPr>
        <w:t xml:space="preserve">una maggiore </w:t>
      </w:r>
      <w:r w:rsidRPr="00571E05">
        <w:rPr>
          <w:rFonts w:ascii="Bookman Old Style" w:hAnsi="Bookman Old Style" w:cs="Times New Roman"/>
          <w:i/>
          <w:iCs/>
          <w:kern w:val="2"/>
          <w:sz w:val="22"/>
          <w:szCs w:val="22"/>
          <w:lang w:eastAsia="en-US"/>
          <w14:ligatures w14:val="standardContextual"/>
        </w:rPr>
        <w:t>chiarezza nella gestione dei rifiuti senza dover ricorrere di volta in volta a un complesso di norme diverse e non sempre coordinate tra loro, come accade per esempio per l’applicazione del perimetro dei rifiuti urbani ai RAEE. A tal fine, seguendo l’esempio di quanto fatto dalla legge 17 maggio 2022, n. 60, si ritiene opportuno rendere evidente nell’ambito del decreto legislativo 3 aprile 2006 n. 152 il coordinamento esistente tra norma generale e norme speciali (sia quelle richiamate dall’articolo 227 sia quelle non espressamente richiamate) integrando, nell’ambito della definizione di rifiuti urbani di cui all’art. 183 e dell’elenco dei codici di cui all’allegato L-quater, anche le tipologie di rifiuti ricondotte alla categoria di “urbani” da norme speciali come il decreto legislativo 14 marzo 2014 n. 49.</w:t>
      </w:r>
    </w:p>
    <w:p w14:paraId="60AFF71A" w14:textId="77777777" w:rsidR="007818D0" w:rsidRDefault="007818D0" w:rsidP="00043788">
      <w:pPr>
        <w:spacing w:after="160" w:line="259" w:lineRule="auto"/>
        <w:rPr>
          <w:rFonts w:ascii="Bookman Old Style" w:hAnsi="Bookman Old Style" w:cs="Times New Roman"/>
          <w:b/>
          <w:kern w:val="2"/>
          <w:sz w:val="22"/>
          <w:szCs w:val="22"/>
          <w:lang w:eastAsia="en-US"/>
          <w14:ligatures w14:val="standardContextual"/>
        </w:rPr>
      </w:pPr>
    </w:p>
    <w:p w14:paraId="504393DB" w14:textId="77777777" w:rsidR="00043788" w:rsidRPr="00672293" w:rsidRDefault="00043788" w:rsidP="00043788">
      <w:pPr>
        <w:autoSpaceDE w:val="0"/>
        <w:autoSpaceDN w:val="0"/>
        <w:adjustRightInd w:val="0"/>
        <w:jc w:val="center"/>
        <w:rPr>
          <w:rFonts w:ascii="Bookman Old Style" w:hAnsi="Bookman Old Style" w:cs="TimesNewRomanPSMT"/>
          <w:b/>
          <w:bCs/>
          <w:i/>
          <w:iCs/>
          <w:sz w:val="22"/>
          <w:szCs w:val="22"/>
          <w:lang w:eastAsia="en-US"/>
          <w14:ligatures w14:val="standardContextual"/>
        </w:rPr>
      </w:pPr>
      <w:r w:rsidRPr="00672293">
        <w:rPr>
          <w:rFonts w:ascii="Bookman Old Style" w:hAnsi="Bookman Old Style" w:cs="TimesNewRomanPSMT"/>
          <w:b/>
          <w:bCs/>
          <w:i/>
          <w:iCs/>
          <w:sz w:val="22"/>
          <w:szCs w:val="22"/>
          <w:lang w:eastAsia="en-US"/>
          <w14:ligatures w14:val="standardContextual"/>
        </w:rPr>
        <w:t>Art. 4</w:t>
      </w:r>
      <w:r>
        <w:rPr>
          <w:rFonts w:ascii="Bookman Old Style" w:hAnsi="Bookman Old Style" w:cs="TimesNewRomanPSMT"/>
          <w:b/>
          <w:bCs/>
          <w:i/>
          <w:iCs/>
          <w:sz w:val="22"/>
          <w:szCs w:val="22"/>
          <w:lang w:eastAsia="en-US"/>
          <w14:ligatures w14:val="standardContextual"/>
        </w:rPr>
        <w:t>.</w:t>
      </w:r>
    </w:p>
    <w:p w14:paraId="4B8C0FDA" w14:textId="77777777" w:rsidR="00043788" w:rsidRPr="00672293" w:rsidRDefault="00043788" w:rsidP="00043788">
      <w:pPr>
        <w:autoSpaceDE w:val="0"/>
        <w:autoSpaceDN w:val="0"/>
        <w:adjustRightInd w:val="0"/>
        <w:jc w:val="center"/>
        <w:rPr>
          <w:rFonts w:ascii="Bookman Old Style" w:hAnsi="Bookman Old Style" w:cs="TimesNewRomanPS-ItalicMT"/>
          <w:b/>
          <w:bCs/>
          <w:i/>
          <w:iCs/>
          <w:sz w:val="22"/>
          <w:szCs w:val="22"/>
          <w:lang w:eastAsia="en-US"/>
          <w14:ligatures w14:val="standardContextual"/>
        </w:rPr>
      </w:pPr>
      <w:r>
        <w:rPr>
          <w:rFonts w:ascii="Bookman Old Style" w:hAnsi="Bookman Old Style" w:cs="TimesNewRomanPS-ItalicMT"/>
          <w:b/>
          <w:bCs/>
          <w:i/>
          <w:iCs/>
          <w:sz w:val="22"/>
          <w:szCs w:val="22"/>
          <w:lang w:eastAsia="en-US"/>
          <w14:ligatures w14:val="standardContextual"/>
        </w:rPr>
        <w:t>(</w:t>
      </w:r>
      <w:r w:rsidRPr="00672293">
        <w:rPr>
          <w:rFonts w:ascii="Bookman Old Style" w:hAnsi="Bookman Old Style" w:cs="TimesNewRomanPS-ItalicMT"/>
          <w:b/>
          <w:bCs/>
          <w:i/>
          <w:iCs/>
          <w:sz w:val="22"/>
          <w:szCs w:val="22"/>
          <w:lang w:eastAsia="en-US"/>
          <w14:ligatures w14:val="standardContextual"/>
        </w:rPr>
        <w:t>Ulteriori disposizioni urgenti per l’economia circolare</w:t>
      </w:r>
      <w:r>
        <w:rPr>
          <w:rFonts w:ascii="Bookman Old Style" w:hAnsi="Bookman Old Style" w:cs="TimesNewRomanPS-ItalicMT"/>
          <w:b/>
          <w:bCs/>
          <w:i/>
          <w:iCs/>
          <w:sz w:val="22"/>
          <w:szCs w:val="22"/>
          <w:lang w:eastAsia="en-US"/>
          <w14:ligatures w14:val="standardContextual"/>
        </w:rPr>
        <w:t>)</w:t>
      </w:r>
    </w:p>
    <w:p w14:paraId="5748E91F" w14:textId="77777777" w:rsidR="00043788" w:rsidRPr="00571E05" w:rsidRDefault="00043788" w:rsidP="00043788">
      <w:pPr>
        <w:autoSpaceDE w:val="0"/>
        <w:autoSpaceDN w:val="0"/>
        <w:adjustRightInd w:val="0"/>
        <w:jc w:val="center"/>
        <w:rPr>
          <w:rFonts w:ascii="Bookman Old Style" w:hAnsi="Bookman Old Style" w:cs="Times New Roman"/>
          <w:bCs/>
          <w:kern w:val="2"/>
          <w:sz w:val="22"/>
          <w:szCs w:val="22"/>
          <w:lang w:eastAsia="en-US"/>
          <w14:ligatures w14:val="standardContextual"/>
        </w:rPr>
      </w:pPr>
    </w:p>
    <w:p w14:paraId="23243CAE" w14:textId="77777777" w:rsidR="00043788" w:rsidRPr="00571E05" w:rsidRDefault="00043788" w:rsidP="00043788">
      <w:pPr>
        <w:autoSpaceDE w:val="0"/>
        <w:autoSpaceDN w:val="0"/>
        <w:adjustRightInd w:val="0"/>
        <w:jc w:val="center"/>
        <w:rPr>
          <w:rFonts w:ascii="Bookman Old Style" w:hAnsi="Bookman Old Style" w:cs="Times New Roman"/>
          <w:bCs/>
          <w:kern w:val="2"/>
          <w:sz w:val="22"/>
          <w:szCs w:val="22"/>
          <w:lang w:eastAsia="en-US"/>
          <w14:ligatures w14:val="standardContextual"/>
        </w:rPr>
      </w:pPr>
    </w:p>
    <w:p w14:paraId="4038A0B3" w14:textId="77777777" w:rsidR="00043788" w:rsidRPr="00571E05" w:rsidRDefault="00043788" w:rsidP="00043788">
      <w:pPr>
        <w:spacing w:after="160" w:line="259" w:lineRule="auto"/>
        <w:jc w:val="both"/>
        <w:rPr>
          <w:rFonts w:ascii="Bookman Old Style" w:hAnsi="Bookman Old Style" w:cs="Times New Roman"/>
          <w:bCs/>
          <w:i/>
          <w:iCs/>
          <w:kern w:val="2"/>
          <w:sz w:val="22"/>
          <w:szCs w:val="22"/>
          <w:lang w:eastAsia="en-US"/>
          <w14:ligatures w14:val="standardContextual"/>
        </w:rPr>
      </w:pPr>
      <w:r w:rsidRPr="00FA6414">
        <w:rPr>
          <w:rFonts w:ascii="Bookman Old Style" w:hAnsi="Bookman Old Style" w:cs="Times New Roman"/>
          <w:bCs/>
          <w:i/>
          <w:iCs/>
          <w:kern w:val="2"/>
          <w:sz w:val="22"/>
          <w:szCs w:val="22"/>
          <w:lang w:eastAsia="en-US"/>
          <w14:ligatures w14:val="standardContextual"/>
        </w:rPr>
        <w:t>All’articolo 4, aggiungere infine il seguente comma:</w:t>
      </w:r>
    </w:p>
    <w:p w14:paraId="5779C36D" w14:textId="77777777" w:rsidR="00043788" w:rsidRPr="00571E05" w:rsidRDefault="00043788" w:rsidP="00043788">
      <w:pPr>
        <w:spacing w:after="160" w:line="259" w:lineRule="auto"/>
        <w:rPr>
          <w:rFonts w:ascii="Bookman Old Style" w:hAnsi="Bookman Old Style" w:cs="Times New Roman"/>
          <w:kern w:val="2"/>
          <w:sz w:val="22"/>
          <w:szCs w:val="22"/>
          <w:lang w:eastAsia="en-US"/>
          <w14:ligatures w14:val="standardContextual"/>
        </w:rPr>
      </w:pPr>
    </w:p>
    <w:p w14:paraId="754B029D" w14:textId="77777777" w:rsidR="00043788" w:rsidRPr="00571E05" w:rsidRDefault="00043788" w:rsidP="00043788">
      <w:pPr>
        <w:spacing w:after="160" w:line="259" w:lineRule="auto"/>
        <w:rPr>
          <w:rFonts w:ascii="Bookman Old Style" w:hAnsi="Bookman Old Style" w:cs="Times New Roman"/>
          <w:kern w:val="2"/>
          <w:sz w:val="22"/>
          <w:szCs w:val="22"/>
          <w:lang w:eastAsia="en-US"/>
          <w14:ligatures w14:val="standardContextual"/>
        </w:rPr>
      </w:pPr>
      <w:r w:rsidRPr="00571E05">
        <w:rPr>
          <w:rFonts w:ascii="Bookman Old Style" w:hAnsi="Bookman Old Style" w:cs="Times New Roman"/>
          <w:kern w:val="2"/>
          <w:sz w:val="22"/>
          <w:szCs w:val="22"/>
          <w:lang w:eastAsia="en-US"/>
          <w14:ligatures w14:val="standardContextual"/>
        </w:rPr>
        <w:t>Al Decreto Legislativo n. 49 del 14 marzo 2014 e successive modifiche, pubblicato nella Gazzetta Ufficiale n. 73 del 28 marzo 2014, Supplemento Ordinario n. 30 sono apportate le seguenti modificazioni:</w:t>
      </w:r>
    </w:p>
    <w:p w14:paraId="59B02EF4" w14:textId="77777777" w:rsidR="00043788" w:rsidRPr="00571E05" w:rsidRDefault="00043788" w:rsidP="00043788">
      <w:pPr>
        <w:numPr>
          <w:ilvl w:val="0"/>
          <w:numId w:val="4"/>
        </w:numPr>
        <w:spacing w:after="160" w:line="259" w:lineRule="auto"/>
        <w:rPr>
          <w:rFonts w:ascii="Bookman Old Style" w:hAnsi="Bookman Old Style" w:cs="Times New Roman"/>
          <w:i/>
          <w:kern w:val="2"/>
          <w:sz w:val="22"/>
          <w:szCs w:val="22"/>
          <w:lang w:eastAsia="en-US"/>
          <w14:ligatures w14:val="standardContextual"/>
        </w:rPr>
      </w:pPr>
      <w:r w:rsidRPr="00571E05">
        <w:rPr>
          <w:rFonts w:ascii="Bookman Old Style" w:hAnsi="Bookman Old Style" w:cs="Times New Roman"/>
          <w:kern w:val="2"/>
          <w:sz w:val="22"/>
          <w:szCs w:val="22"/>
          <w:lang w:eastAsia="en-US"/>
          <w14:ligatures w14:val="standardContextual"/>
        </w:rPr>
        <w:t>All’art. 4 comma 1 la lettera l) è sostituita con la seguente:</w:t>
      </w:r>
    </w:p>
    <w:p w14:paraId="57063276" w14:textId="77777777" w:rsidR="00043788" w:rsidRPr="00571E05" w:rsidRDefault="00043788" w:rsidP="00043788">
      <w:pPr>
        <w:numPr>
          <w:ilvl w:val="0"/>
          <w:numId w:val="5"/>
        </w:numPr>
        <w:spacing w:after="160" w:line="259" w:lineRule="auto"/>
        <w:rPr>
          <w:rFonts w:ascii="Bookman Old Style" w:hAnsi="Bookman Old Style" w:cs="Times New Roman"/>
          <w:i/>
          <w:kern w:val="2"/>
          <w:sz w:val="22"/>
          <w:szCs w:val="22"/>
          <w:lang w:eastAsia="en-US"/>
          <w14:ligatures w14:val="standardContextual"/>
        </w:rPr>
      </w:pPr>
      <w:r w:rsidRPr="00571E05">
        <w:rPr>
          <w:rFonts w:ascii="Bookman Old Style" w:hAnsi="Bookman Old Style" w:cs="Times New Roman"/>
          <w:i/>
          <w:kern w:val="2"/>
          <w:sz w:val="22"/>
          <w:szCs w:val="22"/>
          <w:lang w:eastAsia="en-US"/>
          <w14:ligatures w14:val="standardContextual"/>
        </w:rPr>
        <w:t>'RAEE domestici: i RAEE originati dai nuclei domestici e i RAEE di origine commerciale, industriale, istituzionale e di altro tipo, analoghi per natura a quelli originati dai nuclei domestici. I rifiuti delle AEE che potrebbero essere usate sia dai nuclei domestici che da utilizzatori diversi dai nuclei domestici sono in ogni caso considerati RAEE domestici;</w:t>
      </w:r>
    </w:p>
    <w:p w14:paraId="23CAC152" w14:textId="77777777" w:rsidR="00043788" w:rsidRPr="00571E05" w:rsidRDefault="00043788" w:rsidP="00043788">
      <w:pPr>
        <w:numPr>
          <w:ilvl w:val="0"/>
          <w:numId w:val="4"/>
        </w:numPr>
        <w:spacing w:after="160" w:line="259" w:lineRule="auto"/>
        <w:rPr>
          <w:rFonts w:ascii="Bookman Old Style" w:hAnsi="Bookman Old Style" w:cs="Times New Roman"/>
          <w:i/>
          <w:kern w:val="2"/>
          <w:sz w:val="22"/>
          <w:szCs w:val="22"/>
          <w:lang w:eastAsia="en-US"/>
          <w14:ligatures w14:val="standardContextual"/>
        </w:rPr>
      </w:pPr>
      <w:r w:rsidRPr="00571E05">
        <w:rPr>
          <w:rFonts w:ascii="Bookman Old Style" w:hAnsi="Bookman Old Style" w:cs="Times New Roman"/>
          <w:kern w:val="2"/>
          <w:sz w:val="22"/>
          <w:szCs w:val="22"/>
          <w:lang w:eastAsia="en-US"/>
          <w14:ligatures w14:val="standardContextual"/>
        </w:rPr>
        <w:t>All’art. 4 comma 1 la lettera m) è sostituita con la seguente:</w:t>
      </w:r>
    </w:p>
    <w:p w14:paraId="34672235" w14:textId="77777777" w:rsidR="00043788" w:rsidRPr="00571E05" w:rsidRDefault="00043788" w:rsidP="00043788">
      <w:pPr>
        <w:spacing w:after="160" w:line="259" w:lineRule="auto"/>
        <w:rPr>
          <w:rFonts w:ascii="Bookman Old Style" w:hAnsi="Bookman Old Style" w:cs="Times New Roman"/>
          <w:i/>
          <w:kern w:val="2"/>
          <w:sz w:val="22"/>
          <w:szCs w:val="22"/>
          <w:lang w:eastAsia="en-US"/>
          <w14:ligatures w14:val="standardContextual"/>
        </w:rPr>
      </w:pPr>
      <w:r w:rsidRPr="00571E05">
        <w:rPr>
          <w:rFonts w:ascii="Bookman Old Style" w:hAnsi="Bookman Old Style" w:cs="Times New Roman"/>
          <w:i/>
          <w:kern w:val="2"/>
          <w:sz w:val="22"/>
          <w:szCs w:val="22"/>
          <w:lang w:eastAsia="en-US"/>
          <w14:ligatures w14:val="standardContextual"/>
        </w:rPr>
        <w:t>m) 'RAEE professionali: i RAEE diversi da quelli domestici di cui alla lettera l)</w:t>
      </w:r>
    </w:p>
    <w:p w14:paraId="739826AA" w14:textId="77777777" w:rsidR="00043788" w:rsidRPr="00571E05" w:rsidRDefault="00043788" w:rsidP="00043788">
      <w:pPr>
        <w:numPr>
          <w:ilvl w:val="0"/>
          <w:numId w:val="4"/>
        </w:numPr>
        <w:spacing w:after="160" w:line="259" w:lineRule="auto"/>
        <w:rPr>
          <w:rFonts w:ascii="Bookman Old Style" w:hAnsi="Bookman Old Style" w:cs="Times New Roman"/>
          <w:i/>
          <w:kern w:val="2"/>
          <w:sz w:val="22"/>
          <w:szCs w:val="22"/>
          <w:lang w:eastAsia="en-US"/>
          <w14:ligatures w14:val="standardContextual"/>
        </w:rPr>
      </w:pPr>
      <w:r w:rsidRPr="00571E05">
        <w:rPr>
          <w:rFonts w:ascii="Bookman Old Style" w:hAnsi="Bookman Old Style" w:cs="Times New Roman"/>
          <w:kern w:val="2"/>
          <w:sz w:val="22"/>
          <w:szCs w:val="22"/>
          <w:lang w:eastAsia="en-US"/>
          <w14:ligatures w14:val="standardContextual"/>
        </w:rPr>
        <w:t xml:space="preserve">Nell’art. 4 comma 1 lettera </w:t>
      </w:r>
      <w:proofErr w:type="spellStart"/>
      <w:r w:rsidRPr="00571E05">
        <w:rPr>
          <w:rFonts w:ascii="Bookman Old Style" w:hAnsi="Bookman Old Style" w:cs="Times New Roman"/>
          <w:kern w:val="2"/>
          <w:sz w:val="22"/>
          <w:szCs w:val="22"/>
          <w:lang w:eastAsia="en-US"/>
          <w14:ligatures w14:val="standardContextual"/>
        </w:rPr>
        <w:t>qq</w:t>
      </w:r>
      <w:proofErr w:type="spellEnd"/>
      <w:r w:rsidRPr="00571E05">
        <w:rPr>
          <w:rFonts w:ascii="Bookman Old Style" w:hAnsi="Bookman Old Style" w:cs="Times New Roman"/>
          <w:kern w:val="2"/>
          <w:sz w:val="22"/>
          <w:szCs w:val="22"/>
          <w:lang w:eastAsia="en-US"/>
          <w14:ligatures w14:val="standardContextual"/>
        </w:rPr>
        <w:t>) le parole “</w:t>
      </w:r>
      <w:r w:rsidRPr="00571E05">
        <w:rPr>
          <w:rFonts w:ascii="Bookman Old Style" w:hAnsi="Bookman Old Style" w:cs="Times New Roman"/>
          <w:i/>
          <w:iCs/>
          <w:kern w:val="2"/>
          <w:sz w:val="22"/>
          <w:szCs w:val="22"/>
          <w:lang w:eastAsia="en-US"/>
          <w14:ligatures w14:val="standardContextual"/>
        </w:rPr>
        <w:t>provenienti dai nuclei domestici</w:t>
      </w:r>
      <w:r w:rsidRPr="00571E05">
        <w:rPr>
          <w:rFonts w:ascii="Bookman Old Style" w:hAnsi="Bookman Old Style" w:cs="Times New Roman"/>
          <w:kern w:val="2"/>
          <w:sz w:val="22"/>
          <w:szCs w:val="22"/>
          <w:lang w:eastAsia="en-US"/>
          <w14:ligatures w14:val="standardContextual"/>
        </w:rPr>
        <w:t>” sono sostituite con “</w:t>
      </w:r>
      <w:r w:rsidRPr="00571E05">
        <w:rPr>
          <w:rFonts w:ascii="Bookman Old Style" w:hAnsi="Bookman Old Style" w:cs="Times New Roman"/>
          <w:i/>
          <w:iCs/>
          <w:kern w:val="2"/>
          <w:sz w:val="22"/>
          <w:szCs w:val="22"/>
          <w:lang w:eastAsia="en-US"/>
          <w14:ligatures w14:val="standardContextual"/>
        </w:rPr>
        <w:t>domestici di cui alla lettera l</w:t>
      </w:r>
      <w:r w:rsidRPr="00571E05">
        <w:rPr>
          <w:rFonts w:ascii="Bookman Old Style" w:hAnsi="Bookman Old Style" w:cs="Times New Roman"/>
          <w:i/>
          <w:kern w:val="2"/>
          <w:sz w:val="22"/>
          <w:szCs w:val="22"/>
          <w:lang w:eastAsia="en-US"/>
          <w14:ligatures w14:val="standardContextual"/>
        </w:rPr>
        <w:t>”.</w:t>
      </w:r>
    </w:p>
    <w:p w14:paraId="2F1038AD" w14:textId="77777777" w:rsidR="00043788" w:rsidRPr="00571E05" w:rsidRDefault="00043788" w:rsidP="00043788">
      <w:pPr>
        <w:spacing w:after="160" w:line="259" w:lineRule="auto"/>
        <w:rPr>
          <w:rFonts w:ascii="Bookman Old Style" w:hAnsi="Bookman Old Style" w:cs="Times New Roman"/>
          <w:kern w:val="2"/>
          <w:sz w:val="22"/>
          <w:szCs w:val="22"/>
          <w:lang w:eastAsia="en-US"/>
          <w14:ligatures w14:val="standardContextual"/>
        </w:rPr>
      </w:pPr>
    </w:p>
    <w:p w14:paraId="1C5B1480" w14:textId="77777777" w:rsidR="00043788" w:rsidRPr="00571E05" w:rsidRDefault="00043788" w:rsidP="00043788">
      <w:pPr>
        <w:spacing w:after="160" w:line="259" w:lineRule="auto"/>
        <w:jc w:val="center"/>
        <w:rPr>
          <w:rFonts w:ascii="Bookman Old Style" w:hAnsi="Bookman Old Style" w:cs="Times New Roman"/>
          <w:b/>
          <w:kern w:val="2"/>
          <w:sz w:val="22"/>
          <w:szCs w:val="22"/>
          <w:lang w:eastAsia="en-US"/>
          <w14:ligatures w14:val="standardContextual"/>
        </w:rPr>
      </w:pPr>
      <w:r w:rsidRPr="00571E05">
        <w:rPr>
          <w:rFonts w:ascii="Bookman Old Style" w:hAnsi="Bookman Old Style" w:cs="Times New Roman"/>
          <w:b/>
          <w:kern w:val="2"/>
          <w:sz w:val="22"/>
          <w:szCs w:val="22"/>
          <w:lang w:eastAsia="en-US"/>
          <w14:ligatures w14:val="standardContextual"/>
        </w:rPr>
        <w:t>Motivazione</w:t>
      </w:r>
    </w:p>
    <w:p w14:paraId="6D2E2932" w14:textId="77777777" w:rsidR="00043788" w:rsidRPr="00571E05" w:rsidRDefault="00043788" w:rsidP="00043788">
      <w:pPr>
        <w:spacing w:after="160" w:line="259" w:lineRule="auto"/>
        <w:jc w:val="both"/>
        <w:rPr>
          <w:rFonts w:ascii="Bookman Old Style" w:hAnsi="Bookman Old Style" w:cs="Times New Roman"/>
          <w:i/>
          <w:iCs/>
          <w:kern w:val="2"/>
          <w:sz w:val="22"/>
          <w:szCs w:val="22"/>
          <w:lang w:eastAsia="en-US"/>
          <w14:ligatures w14:val="standardContextual"/>
        </w:rPr>
      </w:pPr>
      <w:r w:rsidRPr="00571E05">
        <w:rPr>
          <w:rFonts w:ascii="Bookman Old Style" w:hAnsi="Bookman Old Style" w:cs="Times New Roman"/>
          <w:bCs/>
          <w:i/>
          <w:iCs/>
          <w:kern w:val="2"/>
          <w:sz w:val="22"/>
          <w:szCs w:val="22"/>
          <w:lang w:eastAsia="en-US"/>
          <w14:ligatures w14:val="standardContextual"/>
        </w:rPr>
        <w:t xml:space="preserve">L’attuale definizione di RAEE domestici presente nel D. Lgs 49/2014 e ss.mm. riporta in maniera poco chiara due volte il concetto di </w:t>
      </w:r>
      <w:r w:rsidRPr="00571E05">
        <w:rPr>
          <w:rFonts w:ascii="Bookman Old Style" w:hAnsi="Bookman Old Style" w:cs="Times New Roman"/>
          <w:i/>
          <w:iCs/>
          <w:kern w:val="2"/>
          <w:sz w:val="22"/>
          <w:szCs w:val="22"/>
          <w:lang w:eastAsia="en-US"/>
          <w14:ligatures w14:val="standardContextual"/>
        </w:rPr>
        <w:t xml:space="preserve">provenienti dai nuclei domestici. Le modifiche </w:t>
      </w:r>
      <w:r>
        <w:rPr>
          <w:rFonts w:ascii="Bookman Old Style" w:hAnsi="Bookman Old Style" w:cs="Times New Roman"/>
          <w:i/>
          <w:iCs/>
          <w:kern w:val="2"/>
          <w:sz w:val="22"/>
          <w:szCs w:val="22"/>
          <w:lang w:eastAsia="en-US"/>
          <w14:ligatures w14:val="standardContextual"/>
        </w:rPr>
        <w:t xml:space="preserve">di cui all’emendamento in oggetto </w:t>
      </w:r>
      <w:r w:rsidRPr="00571E05">
        <w:rPr>
          <w:rFonts w:ascii="Bookman Old Style" w:hAnsi="Bookman Old Style" w:cs="Times New Roman"/>
          <w:i/>
          <w:iCs/>
          <w:kern w:val="2"/>
          <w:sz w:val="22"/>
          <w:szCs w:val="22"/>
          <w:lang w:eastAsia="en-US"/>
          <w14:ligatures w14:val="standardContextual"/>
        </w:rPr>
        <w:t xml:space="preserve">propongono di chiarire il concetto di RAEE domestici come l’insieme dei RAEE originati dai nuclei domestici e i RAEE di origine commerciale, industriale, istituzionale e di altro tipo, analoghi per natura a quelli originati dai nuclei domestici, distinti </w:t>
      </w:r>
      <w:r w:rsidRPr="00571E05">
        <w:rPr>
          <w:rFonts w:ascii="Bookman Old Style" w:hAnsi="Bookman Old Style" w:cs="Times New Roman"/>
          <w:i/>
          <w:iCs/>
          <w:kern w:val="2"/>
          <w:sz w:val="22"/>
          <w:szCs w:val="22"/>
          <w:lang w:eastAsia="en-US"/>
          <w14:ligatures w14:val="standardContextual"/>
        </w:rPr>
        <w:lastRenderedPageBreak/>
        <w:t xml:space="preserve">dai RAEE professionali. </w:t>
      </w:r>
      <w:proofErr w:type="gramStart"/>
      <w:r w:rsidRPr="00571E05">
        <w:rPr>
          <w:rFonts w:ascii="Bookman Old Style" w:hAnsi="Bookman Old Style" w:cs="Times New Roman"/>
          <w:i/>
          <w:iCs/>
          <w:kern w:val="2"/>
          <w:sz w:val="22"/>
          <w:szCs w:val="22"/>
          <w:lang w:eastAsia="en-US"/>
          <w14:ligatures w14:val="standardContextual"/>
        </w:rPr>
        <w:t>Inoltre</w:t>
      </w:r>
      <w:proofErr w:type="gramEnd"/>
      <w:r w:rsidRPr="00571E05">
        <w:rPr>
          <w:rFonts w:ascii="Bookman Old Style" w:hAnsi="Bookman Old Style" w:cs="Times New Roman"/>
          <w:i/>
          <w:iCs/>
          <w:kern w:val="2"/>
          <w:sz w:val="22"/>
          <w:szCs w:val="22"/>
          <w:lang w:eastAsia="en-US"/>
          <w14:ligatures w14:val="standardContextual"/>
        </w:rPr>
        <w:t xml:space="preserve"> si coordina la norma al D. Lgs 116 del 2020 che ha eliminato il riferimento alla quantità nell’assimilazione dei rifiuti prodotti dalle utenze non domestiche ai rifiuti urbani.</w:t>
      </w:r>
    </w:p>
    <w:p w14:paraId="28DBEB66" w14:textId="77777777" w:rsidR="005552A7" w:rsidRPr="0015423B" w:rsidRDefault="005552A7" w:rsidP="00D41589">
      <w:pPr>
        <w:jc w:val="both"/>
        <w:rPr>
          <w:rFonts w:ascii="Bookman Old Style" w:hAnsi="Bookman Old Style"/>
          <w:i/>
          <w:iCs/>
          <w:sz w:val="22"/>
          <w:szCs w:val="22"/>
        </w:rPr>
      </w:pPr>
    </w:p>
    <w:p w14:paraId="0B173CB5" w14:textId="77777777" w:rsidR="00CF059A" w:rsidRDefault="00CF059A" w:rsidP="00D41589">
      <w:pPr>
        <w:jc w:val="both"/>
        <w:rPr>
          <w:rFonts w:ascii="Bookman Old Style" w:hAnsi="Bookman Old Style"/>
          <w:b/>
          <w:bCs/>
          <w:sz w:val="22"/>
          <w:szCs w:val="22"/>
        </w:rPr>
      </w:pPr>
    </w:p>
    <w:p w14:paraId="65D2148E" w14:textId="044CA309" w:rsidR="005552A7" w:rsidRPr="007B0B7C" w:rsidRDefault="007B0B7C" w:rsidP="00D41589">
      <w:pPr>
        <w:jc w:val="both"/>
        <w:rPr>
          <w:rFonts w:ascii="Bookman Old Style" w:hAnsi="Bookman Old Style"/>
          <w:sz w:val="22"/>
          <w:szCs w:val="22"/>
        </w:rPr>
      </w:pPr>
      <w:r w:rsidRPr="007B0B7C">
        <w:rPr>
          <w:rFonts w:ascii="Bookman Old Style" w:hAnsi="Bookman Old Style"/>
          <w:b/>
          <w:bCs/>
          <w:sz w:val="22"/>
          <w:szCs w:val="22"/>
        </w:rPr>
        <w:t>DISSESTO IDROGEOLOGICO</w:t>
      </w:r>
    </w:p>
    <w:p w14:paraId="7F218CA0" w14:textId="77777777" w:rsidR="005552A7" w:rsidRPr="0015423B" w:rsidRDefault="005552A7" w:rsidP="00D41589">
      <w:pPr>
        <w:jc w:val="both"/>
        <w:rPr>
          <w:rFonts w:ascii="Bookman Old Style" w:hAnsi="Bookman Old Style"/>
          <w:i/>
          <w:iCs/>
          <w:sz w:val="22"/>
          <w:szCs w:val="22"/>
        </w:rPr>
      </w:pPr>
    </w:p>
    <w:p w14:paraId="3797EA1F" w14:textId="3821F74F" w:rsidR="00D41589" w:rsidRPr="0015423B" w:rsidRDefault="00D41589" w:rsidP="00D41589">
      <w:pPr>
        <w:jc w:val="center"/>
        <w:rPr>
          <w:rFonts w:ascii="Bookman Old Style" w:hAnsi="Bookman Old Style"/>
          <w:b/>
          <w:bCs/>
          <w:i/>
          <w:iCs/>
          <w:sz w:val="22"/>
          <w:szCs w:val="22"/>
        </w:rPr>
      </w:pPr>
      <w:r w:rsidRPr="0015423B">
        <w:rPr>
          <w:rFonts w:ascii="Bookman Old Style" w:hAnsi="Bookman Old Style"/>
          <w:b/>
          <w:bCs/>
          <w:i/>
          <w:iCs/>
          <w:sz w:val="22"/>
          <w:szCs w:val="22"/>
        </w:rPr>
        <w:t xml:space="preserve">Art. </w:t>
      </w:r>
      <w:r w:rsidR="009E6C1F" w:rsidRPr="0015423B">
        <w:rPr>
          <w:rFonts w:ascii="Bookman Old Style" w:hAnsi="Bookman Old Style"/>
          <w:b/>
          <w:bCs/>
          <w:i/>
          <w:iCs/>
          <w:sz w:val="22"/>
          <w:szCs w:val="22"/>
        </w:rPr>
        <w:t>9</w:t>
      </w:r>
      <w:r w:rsidRPr="0015423B">
        <w:rPr>
          <w:rFonts w:ascii="Bookman Old Style" w:hAnsi="Bookman Old Style"/>
          <w:b/>
          <w:bCs/>
          <w:i/>
          <w:iCs/>
          <w:sz w:val="22"/>
          <w:szCs w:val="22"/>
        </w:rPr>
        <w:t xml:space="preserve">. </w:t>
      </w:r>
    </w:p>
    <w:p w14:paraId="59FD6AD9" w14:textId="7EE3764B" w:rsidR="00D41589" w:rsidRPr="0015423B" w:rsidRDefault="00D41589" w:rsidP="00D41589">
      <w:pPr>
        <w:jc w:val="center"/>
        <w:rPr>
          <w:rFonts w:ascii="Bookman Old Style" w:hAnsi="Bookman Old Style"/>
          <w:b/>
          <w:bCs/>
          <w:i/>
          <w:iCs/>
          <w:sz w:val="22"/>
          <w:szCs w:val="22"/>
        </w:rPr>
      </w:pPr>
      <w:r w:rsidRPr="0015423B">
        <w:rPr>
          <w:rFonts w:ascii="Bookman Old Style" w:hAnsi="Bookman Old Style"/>
          <w:b/>
          <w:bCs/>
          <w:i/>
          <w:iCs/>
          <w:sz w:val="22"/>
          <w:szCs w:val="22"/>
        </w:rPr>
        <w:t>(</w:t>
      </w:r>
      <w:r w:rsidR="003D59AE" w:rsidRPr="0015423B">
        <w:rPr>
          <w:rFonts w:ascii="Bookman Old Style" w:hAnsi="Bookman Old Style"/>
          <w:b/>
          <w:bCs/>
          <w:i/>
          <w:iCs/>
          <w:sz w:val="22"/>
          <w:szCs w:val="22"/>
        </w:rPr>
        <w:t>Programmazione e finanziamento degli interventi affidati ai Commissari di Governo per il contrasto del dissesto idrogeologico</w:t>
      </w:r>
      <w:r w:rsidRPr="0015423B">
        <w:rPr>
          <w:rFonts w:ascii="Bookman Old Style" w:hAnsi="Bookman Old Style"/>
          <w:b/>
          <w:bCs/>
          <w:i/>
          <w:iCs/>
          <w:sz w:val="22"/>
          <w:szCs w:val="22"/>
        </w:rPr>
        <w:t>)</w:t>
      </w:r>
    </w:p>
    <w:p w14:paraId="378AA580" w14:textId="77777777" w:rsidR="007A01CD" w:rsidRPr="0015423B" w:rsidRDefault="007A01CD" w:rsidP="00D41589">
      <w:pPr>
        <w:pStyle w:val="NormaleWeb"/>
        <w:shd w:val="clear" w:color="auto" w:fill="FFFFFF"/>
        <w:spacing w:before="0" w:beforeAutospacing="0" w:after="0" w:afterAutospacing="0"/>
        <w:jc w:val="both"/>
        <w:rPr>
          <w:rFonts w:ascii="Bookman Old Style" w:hAnsi="Bookman Old Style"/>
          <w:i/>
          <w:iCs/>
          <w:color w:val="000000"/>
          <w:sz w:val="22"/>
          <w:szCs w:val="22"/>
        </w:rPr>
      </w:pPr>
    </w:p>
    <w:p w14:paraId="69A39171" w14:textId="77777777" w:rsidR="00D93559" w:rsidRPr="0015423B" w:rsidRDefault="00D41589" w:rsidP="00D41589">
      <w:pPr>
        <w:pStyle w:val="NormaleWeb"/>
        <w:shd w:val="clear" w:color="auto" w:fill="FFFFFF"/>
        <w:spacing w:before="0" w:beforeAutospacing="0" w:after="0" w:afterAutospacing="0"/>
        <w:jc w:val="both"/>
        <w:rPr>
          <w:rFonts w:ascii="Bookman Old Style" w:hAnsi="Bookman Old Style"/>
          <w:color w:val="000000"/>
          <w:sz w:val="22"/>
          <w:szCs w:val="22"/>
        </w:rPr>
      </w:pPr>
      <w:r w:rsidRPr="0015423B">
        <w:rPr>
          <w:rFonts w:ascii="Bookman Old Style" w:hAnsi="Bookman Old Style"/>
          <w:i/>
          <w:iCs/>
          <w:color w:val="000000"/>
          <w:sz w:val="22"/>
          <w:szCs w:val="22"/>
        </w:rPr>
        <w:t xml:space="preserve">All’art. </w:t>
      </w:r>
      <w:r w:rsidR="003D59AE" w:rsidRPr="0015423B">
        <w:rPr>
          <w:rFonts w:ascii="Bookman Old Style" w:hAnsi="Bookman Old Style"/>
          <w:i/>
          <w:iCs/>
          <w:color w:val="000000"/>
          <w:sz w:val="22"/>
          <w:szCs w:val="22"/>
        </w:rPr>
        <w:t>9</w:t>
      </w:r>
      <w:r w:rsidRPr="0015423B">
        <w:rPr>
          <w:rFonts w:ascii="Bookman Old Style" w:hAnsi="Bookman Old Style"/>
          <w:i/>
          <w:iCs/>
          <w:color w:val="000000"/>
          <w:sz w:val="22"/>
          <w:szCs w:val="22"/>
        </w:rPr>
        <w:t>,</w:t>
      </w:r>
      <w:r w:rsidR="00784E0F" w:rsidRPr="0015423B">
        <w:rPr>
          <w:rFonts w:ascii="Bookman Old Style" w:hAnsi="Bookman Old Style"/>
          <w:i/>
          <w:iCs/>
          <w:color w:val="000000"/>
          <w:sz w:val="22"/>
          <w:szCs w:val="22"/>
        </w:rPr>
        <w:t xml:space="preserve"> </w:t>
      </w:r>
      <w:r w:rsidRPr="0015423B">
        <w:rPr>
          <w:rFonts w:ascii="Bookman Old Style" w:hAnsi="Bookman Old Style"/>
          <w:i/>
          <w:iCs/>
          <w:color w:val="000000"/>
          <w:sz w:val="22"/>
          <w:szCs w:val="22"/>
        </w:rPr>
        <w:t xml:space="preserve">comma </w:t>
      </w:r>
      <w:r w:rsidR="006C6CEE" w:rsidRPr="0015423B">
        <w:rPr>
          <w:rFonts w:ascii="Bookman Old Style" w:hAnsi="Bookman Old Style"/>
          <w:i/>
          <w:iCs/>
          <w:color w:val="000000"/>
          <w:sz w:val="22"/>
          <w:szCs w:val="22"/>
        </w:rPr>
        <w:t>1</w:t>
      </w:r>
      <w:r w:rsidRPr="0015423B">
        <w:rPr>
          <w:rFonts w:ascii="Bookman Old Style" w:hAnsi="Bookman Old Style"/>
          <w:i/>
          <w:iCs/>
          <w:color w:val="000000"/>
          <w:sz w:val="22"/>
          <w:szCs w:val="22"/>
        </w:rPr>
        <w:t>,</w:t>
      </w:r>
      <w:r w:rsidR="007A01CD" w:rsidRPr="0015423B">
        <w:rPr>
          <w:rFonts w:ascii="Bookman Old Style" w:hAnsi="Bookman Old Style"/>
          <w:i/>
          <w:iCs/>
          <w:color w:val="000000"/>
          <w:sz w:val="22"/>
          <w:szCs w:val="22"/>
        </w:rPr>
        <w:t xml:space="preserve"> </w:t>
      </w:r>
      <w:r w:rsidR="006C6CEE" w:rsidRPr="0015423B">
        <w:rPr>
          <w:rFonts w:ascii="Bookman Old Style" w:hAnsi="Bookman Old Style"/>
          <w:i/>
          <w:iCs/>
          <w:color w:val="000000"/>
          <w:sz w:val="22"/>
          <w:szCs w:val="22"/>
        </w:rPr>
        <w:t xml:space="preserve">lettera </w:t>
      </w:r>
      <w:r w:rsidR="007A01CD" w:rsidRPr="0015423B">
        <w:rPr>
          <w:rFonts w:ascii="Bookman Old Style" w:hAnsi="Bookman Old Style"/>
          <w:i/>
          <w:iCs/>
          <w:color w:val="000000"/>
          <w:sz w:val="22"/>
          <w:szCs w:val="22"/>
        </w:rPr>
        <w:t>b</w:t>
      </w:r>
      <w:r w:rsidR="006C6CEE" w:rsidRPr="0015423B">
        <w:rPr>
          <w:rFonts w:ascii="Bookman Old Style" w:hAnsi="Bookman Old Style"/>
          <w:i/>
          <w:iCs/>
          <w:color w:val="000000"/>
          <w:sz w:val="22"/>
          <w:szCs w:val="22"/>
        </w:rPr>
        <w:t xml:space="preserve">), </w:t>
      </w:r>
      <w:r w:rsidR="007A01CD" w:rsidRPr="0015423B">
        <w:rPr>
          <w:rFonts w:ascii="Bookman Old Style" w:hAnsi="Bookman Old Style"/>
          <w:i/>
          <w:iCs/>
          <w:color w:val="000000"/>
          <w:sz w:val="22"/>
          <w:szCs w:val="22"/>
        </w:rPr>
        <w:t xml:space="preserve">dopo </w:t>
      </w:r>
      <w:r w:rsidR="009E6C1F" w:rsidRPr="0015423B">
        <w:rPr>
          <w:rFonts w:ascii="Bookman Old Style" w:hAnsi="Bookman Old Style"/>
          <w:i/>
          <w:iCs/>
          <w:color w:val="000000"/>
          <w:sz w:val="22"/>
          <w:szCs w:val="22"/>
        </w:rPr>
        <w:t>il comma 2-ter inserire il seguente comma</w:t>
      </w:r>
      <w:r w:rsidR="009E6C1F" w:rsidRPr="0015423B">
        <w:rPr>
          <w:rFonts w:ascii="Bookman Old Style" w:hAnsi="Bookman Old Style"/>
          <w:color w:val="000000"/>
          <w:sz w:val="22"/>
          <w:szCs w:val="22"/>
        </w:rPr>
        <w:t xml:space="preserve">:  </w:t>
      </w:r>
    </w:p>
    <w:p w14:paraId="69F8DA86" w14:textId="2328A736" w:rsidR="00D41589" w:rsidRPr="0015423B" w:rsidRDefault="00D41589" w:rsidP="00D41589">
      <w:pPr>
        <w:pStyle w:val="NormaleWeb"/>
        <w:shd w:val="clear" w:color="auto" w:fill="FFFFFF"/>
        <w:spacing w:before="0" w:beforeAutospacing="0" w:after="0" w:afterAutospacing="0"/>
        <w:jc w:val="both"/>
        <w:rPr>
          <w:rStyle w:val="fontstyle01"/>
          <w:rFonts w:ascii="Bookman Old Style" w:hAnsi="Bookman Old Style"/>
          <w:sz w:val="22"/>
          <w:szCs w:val="22"/>
        </w:rPr>
      </w:pPr>
      <w:r w:rsidRPr="0015423B">
        <w:rPr>
          <w:rFonts w:ascii="Bookman Old Style" w:hAnsi="Bookman Old Style"/>
          <w:color w:val="000000"/>
          <w:sz w:val="22"/>
          <w:szCs w:val="22"/>
        </w:rPr>
        <w:t>“</w:t>
      </w:r>
      <w:r w:rsidR="009E6C1F" w:rsidRPr="0015423B">
        <w:rPr>
          <w:rFonts w:ascii="Bookman Old Style" w:hAnsi="Bookman Old Style"/>
          <w:color w:val="000000"/>
          <w:sz w:val="22"/>
          <w:szCs w:val="22"/>
        </w:rPr>
        <w:t>2-quater. Per le finalità di cui ai commi precedenti i Commissari di Governo, ove siano stati individuati i Comuni quali soggetti a cui è affidata l’attuazione degli interventi di difesa del suolo, istituiscono una Unità di Progettazione a supporto dei Comuni medesimi</w:t>
      </w:r>
      <w:r w:rsidR="00775CD9" w:rsidRPr="0015423B">
        <w:rPr>
          <w:rStyle w:val="fontstyle01"/>
          <w:rFonts w:ascii="Bookman Old Style" w:hAnsi="Bookman Old Style"/>
          <w:sz w:val="22"/>
          <w:szCs w:val="22"/>
        </w:rPr>
        <w:t>”.</w:t>
      </w:r>
    </w:p>
    <w:p w14:paraId="2EB87D5A" w14:textId="77777777" w:rsidR="00775CD9" w:rsidRPr="0015423B" w:rsidRDefault="00775CD9" w:rsidP="00D41589">
      <w:pPr>
        <w:pStyle w:val="NormaleWeb"/>
        <w:shd w:val="clear" w:color="auto" w:fill="FFFFFF"/>
        <w:spacing w:before="0" w:beforeAutospacing="0" w:after="0" w:afterAutospacing="0"/>
        <w:jc w:val="both"/>
        <w:rPr>
          <w:rStyle w:val="fontstyle01"/>
          <w:rFonts w:ascii="Bookman Old Style" w:hAnsi="Bookman Old Style"/>
          <w:sz w:val="22"/>
          <w:szCs w:val="22"/>
        </w:rPr>
      </w:pPr>
    </w:p>
    <w:p w14:paraId="7E5B2D53" w14:textId="2A2DE6B6" w:rsidR="00775CD9" w:rsidRPr="0015423B" w:rsidRDefault="009E6C1F" w:rsidP="00D41589">
      <w:pPr>
        <w:pStyle w:val="NormaleWeb"/>
        <w:shd w:val="clear" w:color="auto" w:fill="FFFFFF"/>
        <w:spacing w:before="0" w:beforeAutospacing="0" w:after="0" w:afterAutospacing="0"/>
        <w:jc w:val="both"/>
        <w:rPr>
          <w:rStyle w:val="fontstyle01"/>
          <w:rFonts w:ascii="Bookman Old Style" w:hAnsi="Bookman Old Style"/>
          <w:color w:val="auto"/>
          <w:sz w:val="22"/>
          <w:szCs w:val="22"/>
        </w:rPr>
      </w:pPr>
      <w:r w:rsidRPr="0015423B">
        <w:rPr>
          <w:rFonts w:ascii="Bookman Old Style" w:hAnsi="Bookman Old Style"/>
          <w:i/>
          <w:iCs/>
          <w:color w:val="000000"/>
          <w:sz w:val="22"/>
          <w:szCs w:val="22"/>
        </w:rPr>
        <w:t xml:space="preserve"> </w:t>
      </w:r>
    </w:p>
    <w:p w14:paraId="633FA271" w14:textId="77777777" w:rsidR="00775CD9" w:rsidRPr="0015423B" w:rsidRDefault="00775CD9" w:rsidP="00775CD9">
      <w:pPr>
        <w:pStyle w:val="NormaleWeb"/>
        <w:shd w:val="clear" w:color="auto" w:fill="FFFFFF"/>
        <w:spacing w:before="0" w:beforeAutospacing="0" w:after="0" w:afterAutospacing="0"/>
        <w:jc w:val="center"/>
        <w:rPr>
          <w:rStyle w:val="fontstyle01"/>
          <w:rFonts w:ascii="Bookman Old Style" w:hAnsi="Bookman Old Style"/>
          <w:b/>
          <w:bCs/>
          <w:sz w:val="22"/>
          <w:szCs w:val="22"/>
        </w:rPr>
      </w:pPr>
      <w:r w:rsidRPr="0015423B">
        <w:rPr>
          <w:rStyle w:val="fontstyle01"/>
          <w:rFonts w:ascii="Bookman Old Style" w:hAnsi="Bookman Old Style"/>
          <w:b/>
          <w:bCs/>
          <w:sz w:val="22"/>
          <w:szCs w:val="22"/>
        </w:rPr>
        <w:t>Motivazione</w:t>
      </w:r>
    </w:p>
    <w:p w14:paraId="7AFF40F9" w14:textId="1B7D80E0" w:rsidR="00D41589" w:rsidRPr="0015423B" w:rsidRDefault="00EF7392" w:rsidP="00D41589">
      <w:pPr>
        <w:jc w:val="both"/>
        <w:rPr>
          <w:rFonts w:ascii="Bookman Old Style" w:hAnsi="Bookman Old Style"/>
          <w:i/>
          <w:iCs/>
          <w:sz w:val="22"/>
          <w:szCs w:val="22"/>
        </w:rPr>
      </w:pPr>
      <w:r w:rsidRPr="0015423B">
        <w:rPr>
          <w:rFonts w:ascii="Bookman Old Style" w:hAnsi="Bookman Old Style"/>
          <w:i/>
          <w:iCs/>
          <w:sz w:val="22"/>
          <w:szCs w:val="22"/>
        </w:rPr>
        <w:t>La proposta di integrazione</w:t>
      </w:r>
      <w:r w:rsidR="004E406E" w:rsidRPr="0015423B">
        <w:rPr>
          <w:rFonts w:ascii="Bookman Old Style" w:hAnsi="Bookman Old Style"/>
          <w:i/>
          <w:iCs/>
          <w:sz w:val="22"/>
          <w:szCs w:val="22"/>
        </w:rPr>
        <w:t xml:space="preserve"> mira a </w:t>
      </w:r>
      <w:r w:rsidRPr="0015423B">
        <w:rPr>
          <w:rFonts w:ascii="Bookman Old Style" w:hAnsi="Bookman Old Style"/>
          <w:i/>
          <w:iCs/>
          <w:sz w:val="22"/>
          <w:szCs w:val="22"/>
        </w:rPr>
        <w:t xml:space="preserve">definire su base regionale </w:t>
      </w:r>
      <w:r w:rsidR="0091648C" w:rsidRPr="0015423B">
        <w:rPr>
          <w:rFonts w:ascii="Bookman Old Style" w:hAnsi="Bookman Old Style"/>
          <w:i/>
          <w:iCs/>
          <w:sz w:val="22"/>
          <w:szCs w:val="22"/>
        </w:rPr>
        <w:t xml:space="preserve">forme strutturate </w:t>
      </w:r>
      <w:proofErr w:type="gramStart"/>
      <w:r w:rsidR="0091648C" w:rsidRPr="0015423B">
        <w:rPr>
          <w:rFonts w:ascii="Bookman Old Style" w:hAnsi="Bookman Old Style"/>
          <w:i/>
          <w:iCs/>
          <w:sz w:val="22"/>
          <w:szCs w:val="22"/>
        </w:rPr>
        <w:t>di  supporto</w:t>
      </w:r>
      <w:proofErr w:type="gramEnd"/>
      <w:r w:rsidR="0091648C" w:rsidRPr="0015423B">
        <w:rPr>
          <w:rFonts w:ascii="Bookman Old Style" w:hAnsi="Bookman Old Style"/>
          <w:i/>
          <w:iCs/>
          <w:sz w:val="22"/>
          <w:szCs w:val="22"/>
        </w:rPr>
        <w:t xml:space="preserve"> </w:t>
      </w:r>
      <w:r w:rsidR="004E406E" w:rsidRPr="0015423B">
        <w:rPr>
          <w:rFonts w:ascii="Bookman Old Style" w:hAnsi="Bookman Old Style"/>
          <w:i/>
          <w:iCs/>
          <w:sz w:val="22"/>
          <w:szCs w:val="22"/>
        </w:rPr>
        <w:t>tecnico</w:t>
      </w:r>
      <w:r w:rsidR="0091648C" w:rsidRPr="0015423B">
        <w:rPr>
          <w:rFonts w:ascii="Bookman Old Style" w:hAnsi="Bookman Old Style"/>
          <w:i/>
          <w:iCs/>
          <w:sz w:val="22"/>
          <w:szCs w:val="22"/>
        </w:rPr>
        <w:t xml:space="preserve"> necessario per </w:t>
      </w:r>
      <w:r w:rsidR="004E406E" w:rsidRPr="0015423B">
        <w:rPr>
          <w:rFonts w:ascii="Bookman Old Style" w:hAnsi="Bookman Old Style"/>
          <w:i/>
          <w:iCs/>
          <w:sz w:val="22"/>
          <w:szCs w:val="22"/>
        </w:rPr>
        <w:t>i Comuni incaricati,</w:t>
      </w:r>
      <w:r w:rsidR="00600366" w:rsidRPr="0015423B">
        <w:rPr>
          <w:rFonts w:ascii="Bookman Old Style" w:hAnsi="Bookman Old Style"/>
          <w:i/>
          <w:iCs/>
          <w:sz w:val="22"/>
          <w:szCs w:val="22"/>
        </w:rPr>
        <w:t xml:space="preserve"> </w:t>
      </w:r>
      <w:r w:rsidR="004E406E" w:rsidRPr="0015423B">
        <w:rPr>
          <w:rFonts w:ascii="Bookman Old Style" w:hAnsi="Bookman Old Style"/>
          <w:i/>
          <w:iCs/>
          <w:sz w:val="22"/>
          <w:szCs w:val="22"/>
        </w:rPr>
        <w:t>di attuare interventi di difesa del suolo</w:t>
      </w:r>
      <w:r w:rsidR="00600366" w:rsidRPr="0015423B">
        <w:rPr>
          <w:rFonts w:ascii="Bookman Old Style" w:hAnsi="Bookman Old Style"/>
          <w:i/>
          <w:iCs/>
          <w:sz w:val="22"/>
          <w:szCs w:val="22"/>
        </w:rPr>
        <w:t xml:space="preserve"> ( i dati del Repertorio </w:t>
      </w:r>
      <w:proofErr w:type="spellStart"/>
      <w:r w:rsidR="009362AE" w:rsidRPr="0015423B">
        <w:rPr>
          <w:rFonts w:ascii="Bookman Old Style" w:hAnsi="Bookman Old Style"/>
          <w:i/>
          <w:iCs/>
          <w:sz w:val="22"/>
          <w:szCs w:val="22"/>
        </w:rPr>
        <w:t>ReNDIS</w:t>
      </w:r>
      <w:proofErr w:type="spellEnd"/>
      <w:r w:rsidR="009362AE" w:rsidRPr="0015423B">
        <w:rPr>
          <w:rFonts w:ascii="Bookman Old Style" w:hAnsi="Bookman Old Style"/>
          <w:i/>
          <w:iCs/>
          <w:sz w:val="22"/>
          <w:szCs w:val="22"/>
        </w:rPr>
        <w:t xml:space="preserve"> riferiscono che </w:t>
      </w:r>
      <w:r w:rsidR="00600366" w:rsidRPr="0015423B">
        <w:rPr>
          <w:rFonts w:ascii="Bookman Old Style" w:hAnsi="Bookman Old Style"/>
          <w:i/>
          <w:iCs/>
          <w:sz w:val="22"/>
          <w:szCs w:val="22"/>
        </w:rPr>
        <w:t xml:space="preserve">la percentuale di interventi affidati ai Comuni risultai di circa il </w:t>
      </w:r>
      <w:r w:rsidR="009362AE" w:rsidRPr="0015423B">
        <w:rPr>
          <w:rFonts w:ascii="Bookman Old Style" w:hAnsi="Bookman Old Style"/>
          <w:i/>
          <w:iCs/>
          <w:sz w:val="22"/>
          <w:szCs w:val="22"/>
        </w:rPr>
        <w:t xml:space="preserve"> </w:t>
      </w:r>
      <w:r w:rsidR="00600366" w:rsidRPr="0015423B">
        <w:rPr>
          <w:rFonts w:ascii="Bookman Old Style" w:hAnsi="Bookman Old Style"/>
          <w:i/>
          <w:iCs/>
          <w:sz w:val="22"/>
          <w:szCs w:val="22"/>
        </w:rPr>
        <w:t>50%</w:t>
      </w:r>
      <w:r w:rsidRPr="0015423B">
        <w:rPr>
          <w:rFonts w:ascii="Bookman Old Style" w:hAnsi="Bookman Old Style"/>
          <w:i/>
          <w:iCs/>
          <w:sz w:val="22"/>
          <w:szCs w:val="22"/>
        </w:rPr>
        <w:t xml:space="preserve"> s</w:t>
      </w:r>
      <w:r w:rsidR="009362AE" w:rsidRPr="0015423B">
        <w:rPr>
          <w:rFonts w:ascii="Bookman Old Style" w:hAnsi="Bookman Old Style"/>
          <w:i/>
          <w:iCs/>
          <w:sz w:val="22"/>
          <w:szCs w:val="22"/>
        </w:rPr>
        <w:t xml:space="preserve">u scala </w:t>
      </w:r>
      <w:r w:rsidR="00426636" w:rsidRPr="0015423B">
        <w:rPr>
          <w:rFonts w:ascii="Bookman Old Style" w:hAnsi="Bookman Old Style"/>
          <w:i/>
          <w:iCs/>
          <w:sz w:val="22"/>
          <w:szCs w:val="22"/>
        </w:rPr>
        <w:t>nazionale)</w:t>
      </w:r>
      <w:r w:rsidR="00672293">
        <w:rPr>
          <w:rFonts w:ascii="Bookman Old Style" w:hAnsi="Bookman Old Style"/>
          <w:i/>
          <w:iCs/>
          <w:sz w:val="22"/>
          <w:szCs w:val="22"/>
        </w:rPr>
        <w:t>.</w:t>
      </w:r>
      <w:r w:rsidR="004E406E" w:rsidRPr="0015423B">
        <w:rPr>
          <w:rFonts w:ascii="Bookman Old Style" w:hAnsi="Bookman Old Style"/>
          <w:i/>
          <w:iCs/>
          <w:sz w:val="22"/>
          <w:szCs w:val="22"/>
        </w:rPr>
        <w:t xml:space="preserve"> L</w:t>
      </w:r>
      <w:r w:rsidR="0091648C" w:rsidRPr="0015423B">
        <w:rPr>
          <w:rFonts w:ascii="Bookman Old Style" w:hAnsi="Bookman Old Style"/>
          <w:i/>
          <w:iCs/>
          <w:sz w:val="22"/>
          <w:szCs w:val="22"/>
        </w:rPr>
        <w:t>’</w:t>
      </w:r>
      <w:r w:rsidR="004E406E" w:rsidRPr="0015423B">
        <w:rPr>
          <w:rFonts w:ascii="Bookman Old Style" w:hAnsi="Bookman Old Style"/>
          <w:i/>
          <w:iCs/>
          <w:sz w:val="22"/>
          <w:szCs w:val="22"/>
        </w:rPr>
        <w:t xml:space="preserve">istituzione di </w:t>
      </w:r>
      <w:r w:rsidR="009E00EE" w:rsidRPr="0015423B">
        <w:rPr>
          <w:rFonts w:ascii="Bookman Old Style" w:hAnsi="Bookman Old Style"/>
          <w:i/>
          <w:iCs/>
          <w:sz w:val="22"/>
          <w:szCs w:val="22"/>
        </w:rPr>
        <w:t>U</w:t>
      </w:r>
      <w:r w:rsidR="004E406E" w:rsidRPr="0015423B">
        <w:rPr>
          <w:rFonts w:ascii="Bookman Old Style" w:hAnsi="Bookman Old Style"/>
          <w:i/>
          <w:iCs/>
          <w:sz w:val="22"/>
          <w:szCs w:val="22"/>
        </w:rPr>
        <w:t xml:space="preserve">nità di Progettazione a loro supporto, sotto la supervisione dei Commissari di Governo, risponde alla necessità di colmare </w:t>
      </w:r>
      <w:r w:rsidR="00632247" w:rsidRPr="0015423B">
        <w:rPr>
          <w:rFonts w:ascii="Bookman Old Style" w:hAnsi="Bookman Old Style"/>
          <w:i/>
          <w:iCs/>
          <w:sz w:val="22"/>
          <w:szCs w:val="22"/>
        </w:rPr>
        <w:t xml:space="preserve">eventuali carenze </w:t>
      </w:r>
      <w:r w:rsidR="00C36A26" w:rsidRPr="0015423B">
        <w:rPr>
          <w:rFonts w:ascii="Bookman Old Style" w:hAnsi="Bookman Old Style"/>
          <w:i/>
          <w:iCs/>
          <w:sz w:val="22"/>
          <w:szCs w:val="22"/>
        </w:rPr>
        <w:t>di</w:t>
      </w:r>
      <w:r w:rsidR="00632247" w:rsidRPr="0015423B">
        <w:rPr>
          <w:rFonts w:ascii="Bookman Old Style" w:hAnsi="Bookman Old Style"/>
          <w:i/>
          <w:iCs/>
          <w:sz w:val="22"/>
          <w:szCs w:val="22"/>
        </w:rPr>
        <w:t xml:space="preserve"> risorse </w:t>
      </w:r>
      <w:r w:rsidR="004E406E" w:rsidRPr="0015423B">
        <w:rPr>
          <w:rFonts w:ascii="Bookman Old Style" w:hAnsi="Bookman Old Style"/>
          <w:i/>
          <w:iCs/>
          <w:sz w:val="22"/>
          <w:szCs w:val="22"/>
        </w:rPr>
        <w:t xml:space="preserve">tecniche </w:t>
      </w:r>
      <w:r w:rsidR="00632247" w:rsidRPr="0015423B">
        <w:rPr>
          <w:rFonts w:ascii="Bookman Old Style" w:hAnsi="Bookman Old Style"/>
          <w:i/>
          <w:iCs/>
          <w:sz w:val="22"/>
          <w:szCs w:val="22"/>
        </w:rPr>
        <w:t>presenti</w:t>
      </w:r>
      <w:r w:rsidR="004E406E" w:rsidRPr="0015423B">
        <w:rPr>
          <w:rFonts w:ascii="Bookman Old Style" w:hAnsi="Bookman Old Style"/>
          <w:i/>
          <w:iCs/>
          <w:sz w:val="22"/>
          <w:szCs w:val="22"/>
        </w:rPr>
        <w:t xml:space="preserve"> a livello comunale. </w:t>
      </w:r>
      <w:r w:rsidR="00C36A26" w:rsidRPr="0015423B">
        <w:rPr>
          <w:rFonts w:ascii="Bookman Old Style" w:hAnsi="Bookman Old Style"/>
          <w:i/>
          <w:iCs/>
          <w:sz w:val="22"/>
          <w:szCs w:val="22"/>
        </w:rPr>
        <w:t>In questo modo sarà possibile</w:t>
      </w:r>
      <w:r w:rsidR="004E406E" w:rsidRPr="0015423B">
        <w:rPr>
          <w:rFonts w:ascii="Bookman Old Style" w:hAnsi="Bookman Old Style"/>
          <w:i/>
          <w:iCs/>
          <w:sz w:val="22"/>
          <w:szCs w:val="22"/>
        </w:rPr>
        <w:t xml:space="preserve"> migliorare l</w:t>
      </w:r>
      <w:r w:rsidR="00C36A26" w:rsidRPr="0015423B">
        <w:rPr>
          <w:rFonts w:ascii="Bookman Old Style" w:hAnsi="Bookman Old Style"/>
          <w:i/>
          <w:iCs/>
          <w:sz w:val="22"/>
          <w:szCs w:val="22"/>
        </w:rPr>
        <w:t>’</w:t>
      </w:r>
      <w:r w:rsidR="004E406E" w:rsidRPr="0015423B">
        <w:rPr>
          <w:rFonts w:ascii="Bookman Old Style" w:hAnsi="Bookman Old Style"/>
          <w:i/>
          <w:iCs/>
          <w:sz w:val="22"/>
          <w:szCs w:val="22"/>
        </w:rPr>
        <w:t>efficacia e la tempestività della progettazione,</w:t>
      </w:r>
      <w:r w:rsidR="009E00EE" w:rsidRPr="0015423B">
        <w:rPr>
          <w:rFonts w:ascii="Bookman Old Style" w:hAnsi="Bookman Old Style"/>
          <w:i/>
          <w:iCs/>
          <w:sz w:val="22"/>
          <w:szCs w:val="22"/>
        </w:rPr>
        <w:t xml:space="preserve"> dando anche uniformità e</w:t>
      </w:r>
      <w:r w:rsidR="004E406E" w:rsidRPr="0015423B">
        <w:rPr>
          <w:rFonts w:ascii="Bookman Old Style" w:hAnsi="Bookman Old Style"/>
          <w:i/>
          <w:iCs/>
          <w:sz w:val="22"/>
          <w:szCs w:val="22"/>
        </w:rPr>
        <w:t xml:space="preserve"> riducendo il rischio di revoca dei fondi per mancato avanzamento</w:t>
      </w:r>
      <w:r w:rsidR="00835A20" w:rsidRPr="0015423B">
        <w:rPr>
          <w:rFonts w:ascii="Bookman Old Style" w:hAnsi="Bookman Old Style"/>
          <w:i/>
          <w:iCs/>
          <w:sz w:val="22"/>
          <w:szCs w:val="22"/>
        </w:rPr>
        <w:t>, per</w:t>
      </w:r>
      <w:r w:rsidR="004E406E" w:rsidRPr="0015423B">
        <w:rPr>
          <w:rFonts w:ascii="Bookman Old Style" w:hAnsi="Bookman Old Style"/>
          <w:i/>
          <w:iCs/>
          <w:sz w:val="22"/>
          <w:szCs w:val="22"/>
        </w:rPr>
        <w:t xml:space="preserve"> un impiego più efficiente delle risorse per la mitigazione del rischio idrogeologico.</w:t>
      </w:r>
    </w:p>
    <w:p w14:paraId="15D809B7" w14:textId="25EC95C6" w:rsidR="007B017E" w:rsidRPr="0015423B" w:rsidRDefault="007B017E" w:rsidP="00585751">
      <w:pPr>
        <w:jc w:val="both"/>
        <w:rPr>
          <w:rFonts w:ascii="Bookman Old Style" w:hAnsi="Bookman Old Style"/>
          <w:i/>
          <w:iCs/>
          <w:sz w:val="22"/>
          <w:szCs w:val="22"/>
        </w:rPr>
      </w:pPr>
    </w:p>
    <w:p w14:paraId="53190CD9" w14:textId="77777777" w:rsidR="00C36A26" w:rsidRPr="0015423B" w:rsidRDefault="00C36A26" w:rsidP="00585751">
      <w:pPr>
        <w:jc w:val="both"/>
        <w:rPr>
          <w:rFonts w:ascii="Bookman Old Style" w:hAnsi="Bookman Old Style"/>
          <w:i/>
          <w:iCs/>
          <w:sz w:val="22"/>
          <w:szCs w:val="22"/>
        </w:rPr>
      </w:pPr>
    </w:p>
    <w:p w14:paraId="66785187" w14:textId="77777777" w:rsidR="00C36A26" w:rsidRPr="0015423B" w:rsidRDefault="00C36A26" w:rsidP="00585751">
      <w:pPr>
        <w:jc w:val="both"/>
        <w:rPr>
          <w:rFonts w:ascii="Bookman Old Style" w:hAnsi="Bookman Old Style"/>
          <w:i/>
          <w:iCs/>
          <w:sz w:val="22"/>
          <w:szCs w:val="22"/>
        </w:rPr>
      </w:pPr>
    </w:p>
    <w:p w14:paraId="61986D62" w14:textId="77777777" w:rsidR="00C36A26" w:rsidRPr="0015423B" w:rsidRDefault="00C36A26" w:rsidP="00C36A26">
      <w:pPr>
        <w:jc w:val="center"/>
        <w:rPr>
          <w:rFonts w:ascii="Bookman Old Style" w:hAnsi="Bookman Old Style"/>
          <w:b/>
          <w:bCs/>
          <w:i/>
          <w:iCs/>
          <w:sz w:val="22"/>
          <w:szCs w:val="22"/>
        </w:rPr>
      </w:pPr>
      <w:r w:rsidRPr="0015423B">
        <w:rPr>
          <w:rFonts w:ascii="Bookman Old Style" w:hAnsi="Bookman Old Style"/>
          <w:b/>
          <w:bCs/>
          <w:i/>
          <w:iCs/>
          <w:sz w:val="22"/>
          <w:szCs w:val="22"/>
        </w:rPr>
        <w:t xml:space="preserve">Art. 9. </w:t>
      </w:r>
    </w:p>
    <w:p w14:paraId="2FA92D02" w14:textId="77777777" w:rsidR="00C36A26" w:rsidRPr="0015423B" w:rsidRDefault="00C36A26" w:rsidP="00C36A26">
      <w:pPr>
        <w:jc w:val="center"/>
        <w:rPr>
          <w:rFonts w:ascii="Bookman Old Style" w:hAnsi="Bookman Old Style"/>
          <w:b/>
          <w:bCs/>
          <w:i/>
          <w:iCs/>
          <w:sz w:val="22"/>
          <w:szCs w:val="22"/>
        </w:rPr>
      </w:pPr>
      <w:r w:rsidRPr="0015423B">
        <w:rPr>
          <w:rFonts w:ascii="Bookman Old Style" w:hAnsi="Bookman Old Style"/>
          <w:b/>
          <w:bCs/>
          <w:i/>
          <w:iCs/>
          <w:sz w:val="22"/>
          <w:szCs w:val="22"/>
        </w:rPr>
        <w:t>(Programmazione e finanziamento degli interventi affidati ai Commissari di Governo per il contrasto del dissesto idrogeologico)</w:t>
      </w:r>
    </w:p>
    <w:p w14:paraId="0830687E" w14:textId="77777777" w:rsidR="00C36A26" w:rsidRPr="0015423B" w:rsidRDefault="00C36A26" w:rsidP="00C36A26">
      <w:pPr>
        <w:pStyle w:val="NormaleWeb"/>
        <w:shd w:val="clear" w:color="auto" w:fill="FFFFFF"/>
        <w:spacing w:before="0" w:beforeAutospacing="0" w:after="0" w:afterAutospacing="0"/>
        <w:jc w:val="both"/>
        <w:rPr>
          <w:rFonts w:ascii="Bookman Old Style" w:hAnsi="Bookman Old Style"/>
          <w:i/>
          <w:iCs/>
          <w:color w:val="000000"/>
          <w:sz w:val="22"/>
          <w:szCs w:val="22"/>
        </w:rPr>
      </w:pPr>
    </w:p>
    <w:p w14:paraId="17137C68" w14:textId="57166430" w:rsidR="00C36A26" w:rsidRPr="0015423B" w:rsidRDefault="00C36A26" w:rsidP="00C36A26">
      <w:pPr>
        <w:jc w:val="both"/>
        <w:rPr>
          <w:rFonts w:ascii="Bookman Old Style" w:hAnsi="Bookman Old Style"/>
          <w:color w:val="000000"/>
          <w:sz w:val="22"/>
          <w:szCs w:val="22"/>
        </w:rPr>
      </w:pPr>
      <w:r w:rsidRPr="0015423B">
        <w:rPr>
          <w:rFonts w:ascii="Bookman Old Style" w:hAnsi="Bookman Old Style"/>
          <w:i/>
          <w:iCs/>
          <w:color w:val="000000"/>
          <w:sz w:val="22"/>
          <w:szCs w:val="22"/>
        </w:rPr>
        <w:t>All’art. 9, comma</w:t>
      </w:r>
      <w:r w:rsidR="002E585B" w:rsidRPr="0015423B">
        <w:rPr>
          <w:rFonts w:ascii="Bookman Old Style" w:hAnsi="Bookman Old Style"/>
          <w:i/>
          <w:iCs/>
          <w:color w:val="000000"/>
          <w:sz w:val="22"/>
          <w:szCs w:val="22"/>
        </w:rPr>
        <w:t xml:space="preserve"> 3, dopo la lettera b) è inseguita la seguente lettera </w:t>
      </w:r>
      <w:r w:rsidR="002E585B" w:rsidRPr="0015423B">
        <w:rPr>
          <w:rFonts w:ascii="Bookman Old Style" w:hAnsi="Bookman Old Style"/>
          <w:color w:val="000000"/>
          <w:sz w:val="22"/>
          <w:szCs w:val="22"/>
        </w:rPr>
        <w:t>«c) al comma 4 dopo le parole “degli uffici tecnici e amministrativi dei comuni” sono inserite le parole “, previa stipula di apposita convenzione”</w:t>
      </w:r>
      <w:r w:rsidR="00437417" w:rsidRPr="0015423B">
        <w:rPr>
          <w:rFonts w:ascii="Bookman Old Style" w:hAnsi="Bookman Old Style"/>
          <w:color w:val="000000"/>
          <w:sz w:val="22"/>
          <w:szCs w:val="22"/>
        </w:rPr>
        <w:t>»</w:t>
      </w:r>
      <w:r w:rsidR="002E585B" w:rsidRPr="0015423B">
        <w:rPr>
          <w:rFonts w:ascii="Bookman Old Style" w:hAnsi="Bookman Old Style"/>
          <w:color w:val="000000"/>
          <w:sz w:val="22"/>
          <w:szCs w:val="22"/>
        </w:rPr>
        <w:t xml:space="preserve">. </w:t>
      </w:r>
    </w:p>
    <w:p w14:paraId="5000DB38" w14:textId="77777777" w:rsidR="001C63D6" w:rsidRPr="0015423B" w:rsidRDefault="001C63D6" w:rsidP="00C36A26">
      <w:pPr>
        <w:jc w:val="both"/>
        <w:rPr>
          <w:rFonts w:ascii="Bookman Old Style" w:hAnsi="Bookman Old Style"/>
          <w:i/>
          <w:iCs/>
          <w:color w:val="000000"/>
          <w:sz w:val="22"/>
          <w:szCs w:val="22"/>
        </w:rPr>
      </w:pPr>
    </w:p>
    <w:p w14:paraId="17B83164" w14:textId="77777777" w:rsidR="0044359E" w:rsidRPr="0015423B" w:rsidRDefault="0044359E" w:rsidP="0044359E">
      <w:pPr>
        <w:pStyle w:val="NormaleWeb"/>
        <w:shd w:val="clear" w:color="auto" w:fill="FFFFFF"/>
        <w:spacing w:before="0" w:beforeAutospacing="0" w:after="0" w:afterAutospacing="0"/>
        <w:jc w:val="center"/>
        <w:rPr>
          <w:rStyle w:val="fontstyle01"/>
          <w:rFonts w:ascii="Bookman Old Style" w:hAnsi="Bookman Old Style"/>
          <w:b/>
          <w:bCs/>
          <w:sz w:val="22"/>
          <w:szCs w:val="22"/>
        </w:rPr>
      </w:pPr>
      <w:r w:rsidRPr="0015423B">
        <w:rPr>
          <w:rStyle w:val="fontstyle01"/>
          <w:rFonts w:ascii="Bookman Old Style" w:hAnsi="Bookman Old Style"/>
          <w:b/>
          <w:bCs/>
          <w:sz w:val="22"/>
          <w:szCs w:val="22"/>
        </w:rPr>
        <w:t>Motivazione</w:t>
      </w:r>
    </w:p>
    <w:p w14:paraId="5B2A6DC6" w14:textId="2409BA55" w:rsidR="0044359E" w:rsidRPr="0015423B" w:rsidRDefault="0044359E" w:rsidP="00C36A26">
      <w:pPr>
        <w:jc w:val="both"/>
        <w:rPr>
          <w:rFonts w:ascii="Bookman Old Style" w:hAnsi="Bookman Old Style"/>
          <w:i/>
          <w:iCs/>
          <w:color w:val="000000"/>
          <w:sz w:val="22"/>
          <w:szCs w:val="22"/>
        </w:rPr>
      </w:pPr>
      <w:r w:rsidRPr="0015423B">
        <w:rPr>
          <w:rFonts w:ascii="Bookman Old Style" w:hAnsi="Bookman Old Style"/>
          <w:i/>
          <w:iCs/>
          <w:color w:val="000000"/>
          <w:sz w:val="22"/>
          <w:szCs w:val="22"/>
        </w:rPr>
        <w:t xml:space="preserve">La previsione di una convenzione per il ricorso agli uffici comunali per le attività di progettazione degli interventi, per le procedure di affidamento dei lavori, per le attività di direzione dei lavori e di collaudo, nonché per ogni altra attività di carattere tecnico-amministrativo connessa alla progettazione, all'affidamento e all'esecuzione dei lavori, </w:t>
      </w:r>
      <w:r w:rsidR="00A070AB" w:rsidRPr="0015423B">
        <w:rPr>
          <w:rFonts w:ascii="Bookman Old Style" w:hAnsi="Bookman Old Style"/>
          <w:i/>
          <w:iCs/>
          <w:color w:val="000000"/>
          <w:sz w:val="22"/>
          <w:szCs w:val="22"/>
        </w:rPr>
        <w:t>dei</w:t>
      </w:r>
      <w:r w:rsidRPr="0015423B">
        <w:rPr>
          <w:rFonts w:ascii="Bookman Old Style" w:hAnsi="Bookman Old Style"/>
          <w:i/>
          <w:iCs/>
          <w:color w:val="000000"/>
          <w:sz w:val="22"/>
          <w:szCs w:val="22"/>
        </w:rPr>
        <w:t xml:space="preserve"> servizi e forniture risponde alla carenza di personale nelle strutture tecniche e amministrative dei Comuni, già impegnate su diversi fronti e limitate dal blocco delle assunzioni e dalle restrizioni sul turnover. </w:t>
      </w:r>
      <w:r w:rsidR="00A070AB" w:rsidRPr="0015423B">
        <w:rPr>
          <w:rFonts w:ascii="Bookman Old Style" w:hAnsi="Bookman Old Style"/>
          <w:i/>
          <w:iCs/>
          <w:color w:val="000000"/>
          <w:sz w:val="22"/>
          <w:szCs w:val="22"/>
        </w:rPr>
        <w:t>Una</w:t>
      </w:r>
      <w:r w:rsidRPr="0015423B">
        <w:rPr>
          <w:rFonts w:ascii="Bookman Old Style" w:hAnsi="Bookman Old Style"/>
          <w:i/>
          <w:iCs/>
          <w:color w:val="000000"/>
          <w:sz w:val="22"/>
          <w:szCs w:val="22"/>
        </w:rPr>
        <w:t xml:space="preserve"> convenzione permette</w:t>
      </w:r>
      <w:r w:rsidR="00A070AB" w:rsidRPr="0015423B">
        <w:rPr>
          <w:rFonts w:ascii="Bookman Old Style" w:hAnsi="Bookman Old Style"/>
          <w:i/>
          <w:iCs/>
          <w:color w:val="000000"/>
          <w:sz w:val="22"/>
          <w:szCs w:val="22"/>
        </w:rPr>
        <w:t>rebbe</w:t>
      </w:r>
      <w:r w:rsidRPr="0015423B">
        <w:rPr>
          <w:rFonts w:ascii="Bookman Old Style" w:hAnsi="Bookman Old Style"/>
          <w:i/>
          <w:iCs/>
          <w:color w:val="000000"/>
          <w:sz w:val="22"/>
          <w:szCs w:val="22"/>
        </w:rPr>
        <w:t xml:space="preserve"> di regolare l’impiego delle risorse comunali, garantendo che il loro contributo avvenga in modo sostenibile e senza compromettere l’efficienza operativa, attraverso un quadro chiaro di responsabilità e modalità di intervento.</w:t>
      </w:r>
    </w:p>
    <w:p w14:paraId="7A26A7F8" w14:textId="140943A0" w:rsidR="001C63D6" w:rsidRPr="0015423B" w:rsidRDefault="0044359E" w:rsidP="00C36A26">
      <w:pPr>
        <w:jc w:val="both"/>
        <w:rPr>
          <w:rFonts w:ascii="Bookman Old Style" w:hAnsi="Bookman Old Style"/>
          <w:sz w:val="22"/>
          <w:szCs w:val="22"/>
        </w:rPr>
      </w:pPr>
      <w:r w:rsidRPr="0015423B">
        <w:rPr>
          <w:rFonts w:ascii="Bookman Old Style" w:hAnsi="Bookman Old Style"/>
          <w:sz w:val="22"/>
          <w:szCs w:val="22"/>
        </w:rPr>
        <w:t xml:space="preserve"> </w:t>
      </w:r>
    </w:p>
    <w:p w14:paraId="4CE7C6F9" w14:textId="77777777" w:rsidR="003D4317" w:rsidRDefault="003D4317" w:rsidP="00C36A26">
      <w:pPr>
        <w:jc w:val="both"/>
        <w:rPr>
          <w:rFonts w:ascii="Bookman Old Style" w:hAnsi="Bookman Old Style"/>
          <w:sz w:val="22"/>
          <w:szCs w:val="22"/>
        </w:rPr>
      </w:pPr>
    </w:p>
    <w:p w14:paraId="1F4C9116" w14:textId="77777777" w:rsidR="00947635" w:rsidRPr="0015423B" w:rsidRDefault="00947635" w:rsidP="00C36A26">
      <w:pPr>
        <w:jc w:val="both"/>
        <w:rPr>
          <w:rFonts w:ascii="Bookman Old Style" w:hAnsi="Bookman Old Style"/>
          <w:sz w:val="22"/>
          <w:szCs w:val="22"/>
        </w:rPr>
      </w:pPr>
    </w:p>
    <w:p w14:paraId="2ABE0A5D" w14:textId="77777777" w:rsidR="003D4317" w:rsidRPr="0015423B" w:rsidRDefault="003D4317" w:rsidP="00C36A26">
      <w:pPr>
        <w:jc w:val="both"/>
        <w:rPr>
          <w:rFonts w:ascii="Bookman Old Style" w:hAnsi="Bookman Old Style"/>
          <w:sz w:val="22"/>
          <w:szCs w:val="22"/>
        </w:rPr>
      </w:pPr>
    </w:p>
    <w:p w14:paraId="687E1C4C" w14:textId="125C6439" w:rsidR="00176175" w:rsidRPr="0015423B" w:rsidRDefault="00235502" w:rsidP="00235502">
      <w:pPr>
        <w:rPr>
          <w:rFonts w:ascii="Bookman Old Style" w:hAnsi="Bookman Old Style"/>
          <w:b/>
          <w:bCs/>
          <w:i/>
          <w:iCs/>
          <w:sz w:val="22"/>
          <w:szCs w:val="22"/>
        </w:rPr>
      </w:pPr>
      <w:r w:rsidRPr="0015423B">
        <w:rPr>
          <w:rFonts w:ascii="Bookman Old Style" w:hAnsi="Bookman Old Style"/>
          <w:b/>
          <w:bCs/>
          <w:i/>
          <w:iCs/>
          <w:sz w:val="22"/>
          <w:szCs w:val="22"/>
        </w:rPr>
        <w:lastRenderedPageBreak/>
        <w:t>Aggiungere il seguente articolo:</w:t>
      </w:r>
    </w:p>
    <w:p w14:paraId="1A3EFDB0" w14:textId="77777777" w:rsidR="00176175" w:rsidRPr="0015423B" w:rsidRDefault="00176175" w:rsidP="00176175">
      <w:pPr>
        <w:pStyle w:val="NormaleWeb"/>
        <w:shd w:val="clear" w:color="auto" w:fill="FFFFFF"/>
        <w:spacing w:before="0" w:beforeAutospacing="0" w:after="0" w:afterAutospacing="0"/>
        <w:jc w:val="both"/>
        <w:rPr>
          <w:rFonts w:ascii="Bookman Old Style" w:hAnsi="Bookman Old Style"/>
          <w:b/>
          <w:bCs/>
          <w:i/>
          <w:iCs/>
          <w:color w:val="000000"/>
          <w:sz w:val="22"/>
          <w:szCs w:val="22"/>
        </w:rPr>
      </w:pPr>
    </w:p>
    <w:p w14:paraId="1646E158" w14:textId="77777777" w:rsidR="00362407" w:rsidRPr="00672293" w:rsidRDefault="00437417" w:rsidP="00ED483C">
      <w:pPr>
        <w:jc w:val="center"/>
        <w:rPr>
          <w:rFonts w:ascii="Bookman Old Style" w:hAnsi="Bookman Old Style"/>
          <w:b/>
          <w:bCs/>
          <w:i/>
          <w:iCs/>
          <w:color w:val="000000"/>
          <w:sz w:val="22"/>
          <w:szCs w:val="22"/>
        </w:rPr>
      </w:pPr>
      <w:r w:rsidRPr="00672293">
        <w:rPr>
          <w:rFonts w:ascii="Bookman Old Style" w:hAnsi="Bookman Old Style"/>
          <w:b/>
          <w:bCs/>
          <w:i/>
          <w:iCs/>
          <w:color w:val="000000"/>
          <w:sz w:val="22"/>
          <w:szCs w:val="22"/>
        </w:rPr>
        <w:t>«</w:t>
      </w:r>
      <w:r w:rsidR="00844050" w:rsidRPr="00672293">
        <w:rPr>
          <w:rFonts w:ascii="Bookman Old Style" w:hAnsi="Bookman Old Style"/>
          <w:b/>
          <w:bCs/>
          <w:i/>
          <w:iCs/>
          <w:color w:val="000000"/>
          <w:sz w:val="22"/>
          <w:szCs w:val="22"/>
        </w:rPr>
        <w:t xml:space="preserve">Art. 9-bis </w:t>
      </w:r>
    </w:p>
    <w:p w14:paraId="25D1E4C5" w14:textId="7C1D8588" w:rsidR="00844050" w:rsidRPr="00672293" w:rsidRDefault="00844050" w:rsidP="00ED483C">
      <w:pPr>
        <w:jc w:val="center"/>
        <w:rPr>
          <w:rFonts w:ascii="Bookman Old Style" w:hAnsi="Bookman Old Style"/>
          <w:b/>
          <w:bCs/>
          <w:i/>
          <w:iCs/>
          <w:color w:val="000000"/>
          <w:sz w:val="22"/>
          <w:szCs w:val="22"/>
        </w:rPr>
      </w:pPr>
      <w:r w:rsidRPr="00672293">
        <w:rPr>
          <w:rFonts w:ascii="Bookman Old Style" w:hAnsi="Bookman Old Style"/>
          <w:b/>
          <w:bCs/>
          <w:i/>
          <w:iCs/>
          <w:color w:val="000000"/>
          <w:sz w:val="22"/>
          <w:szCs w:val="22"/>
        </w:rPr>
        <w:t>(</w:t>
      </w:r>
      <w:r w:rsidR="00362407" w:rsidRPr="00672293">
        <w:rPr>
          <w:rFonts w:ascii="Bookman Old Style" w:hAnsi="Bookman Old Style"/>
          <w:b/>
          <w:bCs/>
          <w:i/>
          <w:iCs/>
          <w:color w:val="000000"/>
          <w:sz w:val="22"/>
          <w:szCs w:val="22"/>
        </w:rPr>
        <w:t>D</w:t>
      </w:r>
      <w:r w:rsidRPr="00672293">
        <w:rPr>
          <w:rFonts w:ascii="Bookman Old Style" w:hAnsi="Bookman Old Style"/>
          <w:b/>
          <w:bCs/>
          <w:i/>
          <w:iCs/>
          <w:color w:val="000000"/>
          <w:sz w:val="22"/>
          <w:szCs w:val="22"/>
        </w:rPr>
        <w:t>isposizioni in materia di contratti di fiume)</w:t>
      </w:r>
    </w:p>
    <w:p w14:paraId="624E3055" w14:textId="77777777" w:rsidR="00362407" w:rsidRPr="0015423B" w:rsidRDefault="00362407" w:rsidP="00ED483C">
      <w:pPr>
        <w:jc w:val="center"/>
        <w:rPr>
          <w:rFonts w:ascii="Bookman Old Style" w:hAnsi="Bookman Old Style"/>
          <w:b/>
          <w:bCs/>
          <w:color w:val="000000"/>
          <w:sz w:val="22"/>
          <w:szCs w:val="22"/>
        </w:rPr>
      </w:pPr>
    </w:p>
    <w:p w14:paraId="28455AD5" w14:textId="77777777" w:rsidR="009B2927" w:rsidRPr="0015423B" w:rsidRDefault="00051A7E" w:rsidP="005A07EF">
      <w:pPr>
        <w:pStyle w:val="Paragrafoelenco"/>
        <w:numPr>
          <w:ilvl w:val="0"/>
          <w:numId w:val="3"/>
        </w:numPr>
        <w:jc w:val="both"/>
        <w:rPr>
          <w:rFonts w:ascii="Bookman Old Style" w:hAnsi="Bookman Old Style"/>
          <w:color w:val="000000"/>
          <w:sz w:val="22"/>
          <w:szCs w:val="22"/>
        </w:rPr>
      </w:pPr>
      <w:r w:rsidRPr="0015423B">
        <w:rPr>
          <w:rFonts w:ascii="Bookman Old Style" w:hAnsi="Bookman Old Style"/>
          <w:color w:val="000000"/>
          <w:sz w:val="22"/>
          <w:szCs w:val="22"/>
        </w:rPr>
        <w:t xml:space="preserve">All’art. 68-bis del decreto legislativo </w:t>
      </w:r>
      <w:r w:rsidR="00BE2D64" w:rsidRPr="0015423B">
        <w:rPr>
          <w:rFonts w:ascii="Bookman Old Style" w:hAnsi="Bookman Old Style"/>
          <w:color w:val="000000"/>
          <w:sz w:val="22"/>
          <w:szCs w:val="22"/>
        </w:rPr>
        <w:t>3 aprile 2006, n. 152 dopo il comma 1</w:t>
      </w:r>
      <w:r w:rsidR="009B2927" w:rsidRPr="0015423B">
        <w:rPr>
          <w:rFonts w:ascii="Bookman Old Style" w:hAnsi="Bookman Old Style"/>
          <w:color w:val="000000"/>
          <w:sz w:val="22"/>
          <w:szCs w:val="22"/>
        </w:rPr>
        <w:t>, s</w:t>
      </w:r>
      <w:r w:rsidR="00BE2D64" w:rsidRPr="0015423B">
        <w:rPr>
          <w:rFonts w:ascii="Bookman Old Style" w:hAnsi="Bookman Old Style"/>
          <w:color w:val="000000"/>
          <w:sz w:val="22"/>
          <w:szCs w:val="22"/>
        </w:rPr>
        <w:t xml:space="preserve">ono inseriti i seguenti commi: </w:t>
      </w:r>
    </w:p>
    <w:p w14:paraId="65787811" w14:textId="77777777" w:rsidR="009B2927" w:rsidRPr="0015423B" w:rsidRDefault="00BE2D64" w:rsidP="009B2927">
      <w:pPr>
        <w:ind w:left="360"/>
        <w:jc w:val="both"/>
        <w:rPr>
          <w:rFonts w:ascii="Bookman Old Style" w:hAnsi="Bookman Old Style"/>
          <w:color w:val="000000"/>
          <w:sz w:val="22"/>
          <w:szCs w:val="22"/>
        </w:rPr>
      </w:pPr>
      <w:r w:rsidRPr="0015423B">
        <w:rPr>
          <w:rFonts w:ascii="Bookman Old Style" w:hAnsi="Bookman Old Style"/>
          <w:color w:val="000000"/>
          <w:sz w:val="22"/>
          <w:szCs w:val="22"/>
        </w:rPr>
        <w:t>“</w:t>
      </w:r>
      <w:r w:rsidR="00ED483C" w:rsidRPr="0015423B">
        <w:rPr>
          <w:rFonts w:ascii="Bookman Old Style" w:hAnsi="Bookman Old Style"/>
          <w:color w:val="000000"/>
          <w:sz w:val="22"/>
          <w:szCs w:val="22"/>
        </w:rPr>
        <w:t xml:space="preserve">2. I contratti di fiume si attuano attraverso partenariati stabili e costituiti che d’intesa con le autorità competenti e le comunità interessate predispongono una strategia territoriale da realizzarsi attraverso gli interventi previsti nei loro programmi d’azione. </w:t>
      </w:r>
    </w:p>
    <w:p w14:paraId="5E22A3AC" w14:textId="77777777" w:rsidR="009B2927" w:rsidRPr="0015423B" w:rsidRDefault="009B2927" w:rsidP="009B2927">
      <w:pPr>
        <w:ind w:left="360"/>
        <w:jc w:val="both"/>
        <w:rPr>
          <w:rFonts w:ascii="Bookman Old Style" w:hAnsi="Bookman Old Style"/>
          <w:color w:val="000000"/>
          <w:sz w:val="22"/>
          <w:szCs w:val="22"/>
        </w:rPr>
      </w:pPr>
    </w:p>
    <w:p w14:paraId="395C7694" w14:textId="3F5F0342" w:rsidR="00ED483C" w:rsidRPr="0015423B" w:rsidRDefault="00ED483C" w:rsidP="009B2927">
      <w:pPr>
        <w:ind w:left="360"/>
        <w:jc w:val="both"/>
        <w:rPr>
          <w:rFonts w:ascii="Bookman Old Style" w:hAnsi="Bookman Old Style"/>
          <w:color w:val="000000"/>
          <w:sz w:val="22"/>
          <w:szCs w:val="22"/>
        </w:rPr>
      </w:pPr>
      <w:r w:rsidRPr="0015423B">
        <w:rPr>
          <w:rFonts w:ascii="Bookman Old Style" w:hAnsi="Bookman Old Style"/>
          <w:color w:val="000000"/>
          <w:sz w:val="22"/>
          <w:szCs w:val="22"/>
        </w:rPr>
        <w:t>3. Ai fini dell’adozione ed attuazione delle pratiche partenariali partecipative di cui al comma 2, rappresentate dai contratti di fiume, anche nelle forme di contratti di lago, di costa, di acque di transizione, di foce e di falda, saranno destinate apposite risorse finanziarie, di supporto operativo e accompagnamento per l’avvio e attuazione delle strategie e dei programmi di azione individuati nei contratti dai soggetti sottoscrittori</w:t>
      </w:r>
      <w:r w:rsidR="00CE0AB3" w:rsidRPr="0015423B">
        <w:rPr>
          <w:rFonts w:ascii="Bookman Old Style" w:hAnsi="Bookman Old Style"/>
          <w:color w:val="000000"/>
          <w:sz w:val="22"/>
          <w:szCs w:val="22"/>
        </w:rPr>
        <w:t>”</w:t>
      </w:r>
      <w:r w:rsidRPr="0015423B">
        <w:rPr>
          <w:rFonts w:ascii="Bookman Old Style" w:hAnsi="Bookman Old Style"/>
          <w:color w:val="000000"/>
          <w:sz w:val="22"/>
          <w:szCs w:val="22"/>
        </w:rPr>
        <w:t xml:space="preserve">. </w:t>
      </w:r>
    </w:p>
    <w:p w14:paraId="215EE923" w14:textId="75B14F9F" w:rsidR="00176175" w:rsidRPr="0015423B" w:rsidRDefault="00ED483C" w:rsidP="00176175">
      <w:pPr>
        <w:jc w:val="both"/>
        <w:rPr>
          <w:rFonts w:ascii="Bookman Old Style" w:hAnsi="Bookman Old Style"/>
          <w:i/>
          <w:iCs/>
          <w:color w:val="000000"/>
          <w:sz w:val="22"/>
          <w:szCs w:val="22"/>
        </w:rPr>
      </w:pPr>
      <w:r w:rsidRPr="0015423B">
        <w:rPr>
          <w:rFonts w:ascii="Bookman Old Style" w:hAnsi="Bookman Old Style"/>
          <w:i/>
          <w:iCs/>
          <w:color w:val="000000"/>
          <w:sz w:val="22"/>
          <w:szCs w:val="22"/>
        </w:rPr>
        <w:t xml:space="preserve"> </w:t>
      </w:r>
    </w:p>
    <w:p w14:paraId="5122AA4C" w14:textId="77777777" w:rsidR="00176175" w:rsidRPr="0015423B" w:rsidRDefault="00176175" w:rsidP="00176175">
      <w:pPr>
        <w:jc w:val="both"/>
        <w:rPr>
          <w:rFonts w:ascii="Bookman Old Style" w:hAnsi="Bookman Old Style"/>
          <w:i/>
          <w:iCs/>
          <w:color w:val="000000"/>
          <w:sz w:val="22"/>
          <w:szCs w:val="22"/>
        </w:rPr>
      </w:pPr>
    </w:p>
    <w:p w14:paraId="39EC037F" w14:textId="77777777" w:rsidR="00176175" w:rsidRPr="0015423B" w:rsidRDefault="00176175" w:rsidP="00176175">
      <w:pPr>
        <w:pStyle w:val="NormaleWeb"/>
        <w:shd w:val="clear" w:color="auto" w:fill="FFFFFF"/>
        <w:spacing w:before="0" w:beforeAutospacing="0" w:after="0" w:afterAutospacing="0"/>
        <w:jc w:val="center"/>
        <w:rPr>
          <w:rStyle w:val="fontstyle01"/>
          <w:rFonts w:ascii="Bookman Old Style" w:hAnsi="Bookman Old Style"/>
          <w:b/>
          <w:bCs/>
          <w:sz w:val="22"/>
          <w:szCs w:val="22"/>
        </w:rPr>
      </w:pPr>
      <w:r w:rsidRPr="0015423B">
        <w:rPr>
          <w:rStyle w:val="fontstyle01"/>
          <w:rFonts w:ascii="Bookman Old Style" w:hAnsi="Bookman Old Style"/>
          <w:b/>
          <w:bCs/>
          <w:sz w:val="22"/>
          <w:szCs w:val="22"/>
        </w:rPr>
        <w:t>Motivazione</w:t>
      </w:r>
    </w:p>
    <w:p w14:paraId="74482C89" w14:textId="77777777" w:rsidR="000E6178" w:rsidRPr="0015423B" w:rsidRDefault="000E6178" w:rsidP="000E6178">
      <w:pPr>
        <w:jc w:val="both"/>
        <w:rPr>
          <w:rFonts w:ascii="Bookman Old Style" w:hAnsi="Bookman Old Style"/>
          <w:i/>
          <w:iCs/>
          <w:color w:val="000000"/>
          <w:sz w:val="22"/>
          <w:szCs w:val="22"/>
        </w:rPr>
      </w:pPr>
      <w:r w:rsidRPr="0015423B">
        <w:rPr>
          <w:rFonts w:ascii="Bookman Old Style" w:hAnsi="Bookman Old Style"/>
          <w:i/>
          <w:iCs/>
          <w:color w:val="000000"/>
          <w:sz w:val="22"/>
          <w:szCs w:val="22"/>
        </w:rPr>
        <w:t>In Italia, attualmente, sono attivi oltre 200 Contratti di Fiume (</w:t>
      </w:r>
      <w:proofErr w:type="spellStart"/>
      <w:r w:rsidRPr="0015423B">
        <w:rPr>
          <w:rFonts w:ascii="Bookman Old Style" w:hAnsi="Bookman Old Style"/>
          <w:i/>
          <w:iCs/>
          <w:color w:val="000000"/>
          <w:sz w:val="22"/>
          <w:szCs w:val="22"/>
        </w:rPr>
        <w:t>CdF</w:t>
      </w:r>
      <w:proofErr w:type="spellEnd"/>
      <w:r w:rsidRPr="0015423B">
        <w:rPr>
          <w:rFonts w:ascii="Bookman Old Style" w:hAnsi="Bookman Old Style"/>
          <w:i/>
          <w:iCs/>
          <w:color w:val="000000"/>
          <w:sz w:val="22"/>
          <w:szCs w:val="22"/>
        </w:rPr>
        <w:t xml:space="preserve">), di cui 80 già sottoscritti e in fase di attuazione. Questi contratti stanno dimostrando di essere uno strumento altamente efficace per la gestione condivisa e la tutela dei bacini idrografici. Tutte le regioni italiane hanno legiferato in materia di </w:t>
      </w:r>
      <w:proofErr w:type="spellStart"/>
      <w:r w:rsidRPr="0015423B">
        <w:rPr>
          <w:rFonts w:ascii="Bookman Old Style" w:hAnsi="Bookman Old Style"/>
          <w:i/>
          <w:iCs/>
          <w:color w:val="000000"/>
          <w:sz w:val="22"/>
          <w:szCs w:val="22"/>
        </w:rPr>
        <w:t>CdF</w:t>
      </w:r>
      <w:proofErr w:type="spellEnd"/>
      <w:r w:rsidRPr="0015423B">
        <w:rPr>
          <w:rFonts w:ascii="Bookman Old Style" w:hAnsi="Bookman Old Style"/>
          <w:i/>
          <w:iCs/>
          <w:color w:val="000000"/>
          <w:sz w:val="22"/>
          <w:szCs w:val="22"/>
        </w:rPr>
        <w:t>, e le Autorità di Bacino Distrettuali li richiamano nei propri piani di gestione.</w:t>
      </w:r>
    </w:p>
    <w:p w14:paraId="55A2A678" w14:textId="77777777" w:rsidR="000E6178" w:rsidRPr="0015423B" w:rsidRDefault="000E6178" w:rsidP="000E6178">
      <w:pPr>
        <w:jc w:val="both"/>
        <w:rPr>
          <w:rFonts w:ascii="Bookman Old Style" w:hAnsi="Bookman Old Style"/>
          <w:i/>
          <w:iCs/>
          <w:color w:val="000000"/>
          <w:sz w:val="22"/>
          <w:szCs w:val="22"/>
        </w:rPr>
      </w:pPr>
      <w:r w:rsidRPr="0015423B">
        <w:rPr>
          <w:rFonts w:ascii="Bookman Old Style" w:hAnsi="Bookman Old Style"/>
          <w:i/>
          <w:iCs/>
          <w:color w:val="000000"/>
          <w:sz w:val="22"/>
          <w:szCs w:val="22"/>
        </w:rPr>
        <w:t>I Contratti di Fiume sono menzionati nell'Accordo di Partenariato 2021-2027, nell’ambito della programmazione europea, e sono inclusi in più punti nella Strategia Nazionale per lo Sviluppo Sostenibile (GNSS 2022). Inoltre, sono presenti nel Piano Strategico Nazionale (PSN) della Politica Agricola Comune (PAC) 2023-2027, entrato in vigore il 1° gennaio 2023, e sono richiamati nelle fasi preparatorie del Piano di Transizione Ecologica (PTE) e della Strategia Nazionale per la Biodiversità 2030. Il loro ruolo è ampiamente sottolineato anche nel Piano Nazionale di Adattamento ai Cambiamenti Climatici (PPNAC), approvato a dicembre 2023.</w:t>
      </w:r>
    </w:p>
    <w:p w14:paraId="3C0278C5" w14:textId="34599587" w:rsidR="0028700E" w:rsidRPr="0015423B" w:rsidRDefault="000E6178" w:rsidP="000E6178">
      <w:pPr>
        <w:jc w:val="both"/>
        <w:rPr>
          <w:rFonts w:ascii="Bookman Old Style" w:hAnsi="Bookman Old Style"/>
          <w:i/>
          <w:iCs/>
          <w:color w:val="000000"/>
          <w:sz w:val="22"/>
          <w:szCs w:val="22"/>
        </w:rPr>
      </w:pPr>
      <w:r w:rsidRPr="0015423B">
        <w:rPr>
          <w:rFonts w:ascii="Bookman Old Style" w:hAnsi="Bookman Old Style"/>
          <w:i/>
          <w:iCs/>
          <w:color w:val="000000"/>
          <w:sz w:val="22"/>
          <w:szCs w:val="22"/>
        </w:rPr>
        <w:t xml:space="preserve">La proposta di modifica legislativa intende intervenire sull’art. 68-bis del Codice dell’Ambiente (d.lgs. n. 152/2016), </w:t>
      </w:r>
      <w:r w:rsidR="00820C22" w:rsidRPr="0015423B">
        <w:rPr>
          <w:rFonts w:ascii="Bookman Old Style" w:hAnsi="Bookman Old Style"/>
          <w:i/>
          <w:iCs/>
          <w:color w:val="000000"/>
          <w:sz w:val="22"/>
          <w:szCs w:val="22"/>
        </w:rPr>
        <w:t xml:space="preserve">specificando </w:t>
      </w:r>
      <w:proofErr w:type="gramStart"/>
      <w:r w:rsidR="00014AF4" w:rsidRPr="0015423B">
        <w:rPr>
          <w:rFonts w:ascii="Bookman Old Style" w:hAnsi="Bookman Old Style"/>
          <w:i/>
          <w:iCs/>
          <w:color w:val="000000"/>
          <w:sz w:val="22"/>
          <w:szCs w:val="22"/>
        </w:rPr>
        <w:t xml:space="preserve">che </w:t>
      </w:r>
      <w:r w:rsidRPr="0015423B">
        <w:rPr>
          <w:rFonts w:ascii="Bookman Old Style" w:hAnsi="Bookman Old Style"/>
          <w:i/>
          <w:iCs/>
          <w:color w:val="000000"/>
          <w:sz w:val="22"/>
          <w:szCs w:val="22"/>
        </w:rPr>
        <w:t xml:space="preserve"> i</w:t>
      </w:r>
      <w:proofErr w:type="gramEnd"/>
      <w:r w:rsidRPr="0015423B">
        <w:rPr>
          <w:rFonts w:ascii="Bookman Old Style" w:hAnsi="Bookman Old Style"/>
          <w:i/>
          <w:iCs/>
          <w:color w:val="000000"/>
          <w:sz w:val="22"/>
          <w:szCs w:val="22"/>
        </w:rPr>
        <w:t xml:space="preserve"> contratti di fium</w:t>
      </w:r>
      <w:r w:rsidR="001A4114" w:rsidRPr="0015423B">
        <w:rPr>
          <w:rFonts w:ascii="Bookman Old Style" w:hAnsi="Bookman Old Style"/>
          <w:i/>
          <w:iCs/>
          <w:color w:val="000000"/>
          <w:sz w:val="22"/>
          <w:szCs w:val="22"/>
        </w:rPr>
        <w:t>e sono</w:t>
      </w:r>
      <w:r w:rsidR="006B6528" w:rsidRPr="0015423B">
        <w:rPr>
          <w:rFonts w:ascii="Bookman Old Style" w:hAnsi="Bookman Old Style"/>
          <w:i/>
          <w:iCs/>
          <w:color w:val="000000"/>
          <w:sz w:val="22"/>
          <w:szCs w:val="22"/>
        </w:rPr>
        <w:t xml:space="preserve"> attuati con una visione territoriale che coinvolga in modo stabile le comunità locali, le autorità competenti e gli altri soggetti interessati</w:t>
      </w:r>
      <w:r w:rsidR="00014AF4" w:rsidRPr="0015423B">
        <w:rPr>
          <w:rFonts w:ascii="Bookman Old Style" w:hAnsi="Bookman Old Style"/>
          <w:i/>
          <w:iCs/>
          <w:color w:val="000000"/>
          <w:sz w:val="22"/>
          <w:szCs w:val="22"/>
        </w:rPr>
        <w:t xml:space="preserve">, secondo </w:t>
      </w:r>
      <w:r w:rsidR="006B6528" w:rsidRPr="0015423B">
        <w:rPr>
          <w:rFonts w:ascii="Bookman Old Style" w:hAnsi="Bookman Old Style"/>
          <w:i/>
          <w:iCs/>
          <w:color w:val="000000"/>
          <w:sz w:val="22"/>
          <w:szCs w:val="22"/>
        </w:rPr>
        <w:t xml:space="preserve">un approccio </w:t>
      </w:r>
      <w:r w:rsidR="001A4114" w:rsidRPr="0015423B">
        <w:rPr>
          <w:rFonts w:ascii="Bookman Old Style" w:hAnsi="Bookman Old Style"/>
          <w:i/>
          <w:iCs/>
          <w:color w:val="000000"/>
          <w:sz w:val="22"/>
          <w:szCs w:val="22"/>
        </w:rPr>
        <w:t xml:space="preserve">di </w:t>
      </w:r>
      <w:r w:rsidR="0028700E" w:rsidRPr="0015423B">
        <w:rPr>
          <w:rFonts w:ascii="Bookman Old Style" w:hAnsi="Bookman Old Style"/>
          <w:i/>
          <w:iCs/>
          <w:color w:val="000000"/>
          <w:sz w:val="22"/>
          <w:szCs w:val="22"/>
        </w:rPr>
        <w:t xml:space="preserve">gestione integrata e partecipativa delle risorse idriche </w:t>
      </w:r>
      <w:r w:rsidR="00014AF4" w:rsidRPr="0015423B">
        <w:rPr>
          <w:rFonts w:ascii="Bookman Old Style" w:hAnsi="Bookman Old Style"/>
          <w:i/>
          <w:iCs/>
          <w:color w:val="000000"/>
          <w:sz w:val="22"/>
          <w:szCs w:val="22"/>
        </w:rPr>
        <w:t xml:space="preserve">. </w:t>
      </w:r>
    </w:p>
    <w:p w14:paraId="6ECAFD5B" w14:textId="2FD20965" w:rsidR="00497333" w:rsidRPr="0015423B" w:rsidRDefault="00522EF2" w:rsidP="0028700E">
      <w:pPr>
        <w:jc w:val="both"/>
        <w:rPr>
          <w:rFonts w:ascii="Bookman Old Style" w:hAnsi="Bookman Old Style"/>
          <w:i/>
          <w:iCs/>
          <w:color w:val="000000"/>
          <w:sz w:val="22"/>
          <w:szCs w:val="22"/>
        </w:rPr>
      </w:pPr>
      <w:r w:rsidRPr="0015423B">
        <w:rPr>
          <w:rFonts w:ascii="Bookman Old Style" w:hAnsi="Bookman Old Style"/>
          <w:i/>
          <w:iCs/>
          <w:color w:val="000000"/>
          <w:sz w:val="22"/>
          <w:szCs w:val="22"/>
        </w:rPr>
        <w:t xml:space="preserve">SI chiede poi </w:t>
      </w:r>
      <w:r w:rsidR="002F0E04" w:rsidRPr="0015423B">
        <w:rPr>
          <w:rFonts w:ascii="Bookman Old Style" w:hAnsi="Bookman Old Style"/>
          <w:i/>
          <w:iCs/>
          <w:color w:val="000000"/>
          <w:sz w:val="22"/>
          <w:szCs w:val="22"/>
        </w:rPr>
        <w:t>di estendere</w:t>
      </w:r>
      <w:r w:rsidR="001A4114" w:rsidRPr="0015423B">
        <w:rPr>
          <w:rFonts w:ascii="Bookman Old Style" w:hAnsi="Bookman Old Style"/>
          <w:i/>
          <w:iCs/>
          <w:color w:val="000000"/>
          <w:sz w:val="22"/>
          <w:szCs w:val="22"/>
        </w:rPr>
        <w:t xml:space="preserve"> formalmente</w:t>
      </w:r>
      <w:r w:rsidR="002F0E04" w:rsidRPr="0015423B">
        <w:rPr>
          <w:rFonts w:ascii="Bookman Old Style" w:hAnsi="Bookman Old Style"/>
          <w:i/>
          <w:iCs/>
          <w:color w:val="000000"/>
          <w:sz w:val="22"/>
          <w:szCs w:val="22"/>
        </w:rPr>
        <w:t xml:space="preserve"> la disciplina dei contratti di fiume </w:t>
      </w:r>
      <w:r w:rsidR="001A4114" w:rsidRPr="0015423B">
        <w:rPr>
          <w:rFonts w:ascii="Bookman Old Style" w:hAnsi="Bookman Old Style"/>
          <w:i/>
          <w:iCs/>
          <w:color w:val="000000"/>
          <w:sz w:val="22"/>
          <w:szCs w:val="22"/>
        </w:rPr>
        <w:t xml:space="preserve">anche </w:t>
      </w:r>
      <w:r w:rsidR="002F0E04" w:rsidRPr="0015423B">
        <w:rPr>
          <w:rFonts w:ascii="Bookman Old Style" w:hAnsi="Bookman Old Style"/>
          <w:i/>
          <w:iCs/>
          <w:color w:val="000000"/>
          <w:sz w:val="22"/>
          <w:szCs w:val="22"/>
        </w:rPr>
        <w:t>ad altri strumenti di gestione territoriale, come i contratti di lago, costa e falda, che attualmente non sono regolamentati dalla legislazione italiana</w:t>
      </w:r>
      <w:r w:rsidR="00497333" w:rsidRPr="0015423B">
        <w:rPr>
          <w:rFonts w:ascii="Bookman Old Style" w:hAnsi="Bookman Old Style"/>
          <w:i/>
          <w:iCs/>
          <w:color w:val="000000"/>
          <w:sz w:val="22"/>
          <w:szCs w:val="22"/>
        </w:rPr>
        <w:t>, p</w:t>
      </w:r>
      <w:r w:rsidR="003C15DB" w:rsidRPr="0015423B">
        <w:rPr>
          <w:rFonts w:ascii="Bookman Old Style" w:hAnsi="Bookman Old Style"/>
          <w:i/>
          <w:iCs/>
          <w:color w:val="000000"/>
          <w:sz w:val="22"/>
          <w:szCs w:val="22"/>
        </w:rPr>
        <w:t>revedendo anche l’</w:t>
      </w:r>
      <w:r w:rsidR="002F0E04" w:rsidRPr="0015423B">
        <w:rPr>
          <w:rFonts w:ascii="Bookman Old Style" w:hAnsi="Bookman Old Style"/>
          <w:i/>
          <w:iCs/>
          <w:color w:val="000000"/>
          <w:sz w:val="22"/>
          <w:szCs w:val="22"/>
        </w:rPr>
        <w:t>introduzione di risorse specifiche per il supporto operativo e l</w:t>
      </w:r>
      <w:r w:rsidR="003C15DB" w:rsidRPr="0015423B">
        <w:rPr>
          <w:rFonts w:ascii="Bookman Old Style" w:hAnsi="Bookman Old Style"/>
          <w:i/>
          <w:iCs/>
          <w:color w:val="000000"/>
          <w:sz w:val="22"/>
          <w:szCs w:val="22"/>
        </w:rPr>
        <w:t>’</w:t>
      </w:r>
      <w:r w:rsidR="002F0E04" w:rsidRPr="0015423B">
        <w:rPr>
          <w:rFonts w:ascii="Bookman Old Style" w:hAnsi="Bookman Old Style"/>
          <w:i/>
          <w:iCs/>
          <w:color w:val="000000"/>
          <w:sz w:val="22"/>
          <w:szCs w:val="22"/>
        </w:rPr>
        <w:t xml:space="preserve">accompagnamento </w:t>
      </w:r>
      <w:r w:rsidR="00497333" w:rsidRPr="0015423B">
        <w:rPr>
          <w:rFonts w:ascii="Bookman Old Style" w:hAnsi="Bookman Old Style"/>
          <w:i/>
          <w:iCs/>
          <w:color w:val="000000"/>
          <w:sz w:val="22"/>
          <w:szCs w:val="22"/>
        </w:rPr>
        <w:t xml:space="preserve">per l’avvio di queste strategie  e per la gestione </w:t>
      </w:r>
      <w:r w:rsidR="002F0E04" w:rsidRPr="0015423B">
        <w:rPr>
          <w:rFonts w:ascii="Bookman Old Style" w:hAnsi="Bookman Old Style"/>
          <w:i/>
          <w:iCs/>
          <w:color w:val="000000"/>
          <w:sz w:val="22"/>
          <w:szCs w:val="22"/>
        </w:rPr>
        <w:t>delle fasi di attuazione</w:t>
      </w:r>
      <w:r w:rsidR="003C15DB" w:rsidRPr="0015423B">
        <w:rPr>
          <w:rFonts w:ascii="Bookman Old Style" w:hAnsi="Bookman Old Style"/>
          <w:i/>
          <w:iCs/>
          <w:color w:val="000000"/>
          <w:sz w:val="22"/>
          <w:szCs w:val="22"/>
        </w:rPr>
        <w:t xml:space="preserve">, </w:t>
      </w:r>
      <w:r w:rsidR="004F4B76" w:rsidRPr="0015423B">
        <w:rPr>
          <w:rFonts w:ascii="Bookman Old Style" w:hAnsi="Bookman Old Style"/>
          <w:i/>
          <w:iCs/>
          <w:color w:val="000000"/>
          <w:sz w:val="22"/>
          <w:szCs w:val="22"/>
        </w:rPr>
        <w:t xml:space="preserve">che richiedono un forte impegno di coordinamento </w:t>
      </w:r>
      <w:r w:rsidR="001B41AC" w:rsidRPr="0015423B">
        <w:rPr>
          <w:rFonts w:ascii="Bookman Old Style" w:hAnsi="Bookman Old Style"/>
          <w:i/>
          <w:iCs/>
          <w:color w:val="000000"/>
          <w:sz w:val="22"/>
          <w:szCs w:val="22"/>
        </w:rPr>
        <w:t xml:space="preserve">tra i diversi attori istituzionali e portatori  di interesse </w:t>
      </w:r>
      <w:r w:rsidRPr="0015423B">
        <w:rPr>
          <w:rFonts w:ascii="Bookman Old Style" w:hAnsi="Bookman Old Style"/>
          <w:i/>
          <w:iCs/>
          <w:color w:val="000000"/>
          <w:sz w:val="22"/>
          <w:szCs w:val="22"/>
        </w:rPr>
        <w:t xml:space="preserve">. </w:t>
      </w:r>
    </w:p>
    <w:p w14:paraId="02009C0B" w14:textId="28AC76DB" w:rsidR="00497333" w:rsidRPr="0015423B" w:rsidRDefault="00201C4B" w:rsidP="0028700E">
      <w:pPr>
        <w:jc w:val="both"/>
        <w:rPr>
          <w:rFonts w:ascii="Bookman Old Style" w:hAnsi="Bookman Old Style"/>
          <w:i/>
          <w:iCs/>
          <w:color w:val="000000"/>
          <w:sz w:val="22"/>
          <w:szCs w:val="22"/>
        </w:rPr>
      </w:pPr>
      <w:r w:rsidRPr="0015423B">
        <w:rPr>
          <w:rFonts w:ascii="Bookman Old Style" w:hAnsi="Bookman Old Style"/>
          <w:i/>
          <w:iCs/>
          <w:color w:val="000000"/>
          <w:sz w:val="22"/>
          <w:szCs w:val="22"/>
        </w:rPr>
        <w:t xml:space="preserve">Preme evidenziare che con l’approvazione della Nature </w:t>
      </w:r>
      <w:proofErr w:type="spellStart"/>
      <w:r w:rsidRPr="0015423B">
        <w:rPr>
          <w:rFonts w:ascii="Bookman Old Style" w:hAnsi="Bookman Old Style"/>
          <w:i/>
          <w:iCs/>
          <w:color w:val="000000"/>
          <w:sz w:val="22"/>
          <w:szCs w:val="22"/>
        </w:rPr>
        <w:t>Restoration</w:t>
      </w:r>
      <w:proofErr w:type="spellEnd"/>
      <w:r w:rsidRPr="0015423B">
        <w:rPr>
          <w:rFonts w:ascii="Bookman Old Style" w:hAnsi="Bookman Old Style"/>
          <w:i/>
          <w:iCs/>
          <w:color w:val="000000"/>
          <w:sz w:val="22"/>
          <w:szCs w:val="22"/>
        </w:rPr>
        <w:t xml:space="preserve"> </w:t>
      </w:r>
      <w:proofErr w:type="spellStart"/>
      <w:r w:rsidRPr="0015423B">
        <w:rPr>
          <w:rFonts w:ascii="Bookman Old Style" w:hAnsi="Bookman Old Style"/>
          <w:i/>
          <w:iCs/>
          <w:color w:val="000000"/>
          <w:sz w:val="22"/>
          <w:szCs w:val="22"/>
        </w:rPr>
        <w:t>Law</w:t>
      </w:r>
      <w:proofErr w:type="spellEnd"/>
      <w:r w:rsidRPr="0015423B">
        <w:rPr>
          <w:rFonts w:ascii="Bookman Old Style" w:hAnsi="Bookman Old Style"/>
          <w:i/>
          <w:iCs/>
          <w:color w:val="000000"/>
          <w:sz w:val="22"/>
          <w:szCs w:val="22"/>
        </w:rPr>
        <w:t xml:space="preserve"> da parte dell'Unione Europea, i Contratti di Fiume acquisiscono una rilevanza ancora maggiore, in quanto strumenti cruciali per il raggiungimento degli obiettivi di ripristino ecologico a livello locale e regionale. La legge europea impone agli Stati membri di adottare misure concrete per il restauro della biodiversità, compreso il ripristino dei fiumi, delle acque e degli habitat naturali. I </w:t>
      </w:r>
      <w:proofErr w:type="spellStart"/>
      <w:r w:rsidRPr="0015423B">
        <w:rPr>
          <w:rFonts w:ascii="Bookman Old Style" w:hAnsi="Bookman Old Style"/>
          <w:i/>
          <w:iCs/>
          <w:color w:val="000000"/>
          <w:sz w:val="22"/>
          <w:szCs w:val="22"/>
        </w:rPr>
        <w:t>CdF</w:t>
      </w:r>
      <w:proofErr w:type="spellEnd"/>
      <w:r w:rsidRPr="0015423B">
        <w:rPr>
          <w:rFonts w:ascii="Bookman Old Style" w:hAnsi="Bookman Old Style"/>
          <w:i/>
          <w:iCs/>
          <w:color w:val="000000"/>
          <w:sz w:val="22"/>
          <w:szCs w:val="22"/>
        </w:rPr>
        <w:t xml:space="preserve">, già orientati verso una gestione sostenibile delle risorse idriche, si configurano pertanto come un’opportunità per integrare le politiche di ripristino ecologico nei contesti territoriali, contribuendo al raggiungimento degli obiettivi di sostenibilità fissati a livello comunitario.  </w:t>
      </w:r>
    </w:p>
    <w:p w14:paraId="7A65824D" w14:textId="77777777" w:rsidR="00497333" w:rsidRPr="0015423B" w:rsidRDefault="00497333" w:rsidP="0028700E">
      <w:pPr>
        <w:jc w:val="both"/>
        <w:rPr>
          <w:rFonts w:ascii="Bookman Old Style" w:hAnsi="Bookman Old Style"/>
          <w:i/>
          <w:iCs/>
          <w:color w:val="000000"/>
          <w:sz w:val="22"/>
          <w:szCs w:val="22"/>
        </w:rPr>
      </w:pPr>
    </w:p>
    <w:p w14:paraId="0E4E8EDB" w14:textId="77777777" w:rsidR="00571E05" w:rsidRPr="0015423B" w:rsidRDefault="00522EF2" w:rsidP="00571E05">
      <w:pPr>
        <w:jc w:val="both"/>
        <w:rPr>
          <w:rFonts w:ascii="Bookman Old Style" w:hAnsi="Bookman Old Style" w:cs="Times New Roman"/>
          <w:bCs/>
          <w:kern w:val="2"/>
          <w:sz w:val="22"/>
          <w:szCs w:val="22"/>
          <w:lang w:eastAsia="en-US"/>
          <w14:ligatures w14:val="standardContextual"/>
        </w:rPr>
      </w:pPr>
      <w:r w:rsidRPr="0015423B">
        <w:rPr>
          <w:rFonts w:ascii="Bookman Old Style" w:hAnsi="Bookman Old Style"/>
          <w:i/>
          <w:iCs/>
          <w:color w:val="000000"/>
          <w:sz w:val="22"/>
          <w:szCs w:val="22"/>
        </w:rPr>
        <w:t xml:space="preserve"> </w:t>
      </w:r>
    </w:p>
    <w:p w14:paraId="4C9B84E4" w14:textId="77777777" w:rsidR="00043788" w:rsidRDefault="00043788" w:rsidP="00043788">
      <w:pPr>
        <w:rPr>
          <w:rFonts w:ascii="Bookman Old Style" w:hAnsi="Bookman Old Style"/>
          <w:i/>
          <w:iCs/>
          <w:sz w:val="22"/>
          <w:szCs w:val="22"/>
        </w:rPr>
      </w:pPr>
    </w:p>
    <w:p w14:paraId="793E73DB" w14:textId="77777777" w:rsidR="007818D0" w:rsidRDefault="007818D0" w:rsidP="007818D0">
      <w:pPr>
        <w:spacing w:line="276" w:lineRule="auto"/>
        <w:rPr>
          <w:rFonts w:ascii="Bookman Old Style" w:hAnsi="Bookman Old Style" w:cs="Times New Roman"/>
          <w:b/>
          <w:bCs/>
          <w:sz w:val="22"/>
          <w:szCs w:val="22"/>
          <w:u w:val="single"/>
        </w:rPr>
      </w:pPr>
    </w:p>
    <w:p w14:paraId="6BEF8654" w14:textId="18D7EB95" w:rsidR="007818D0" w:rsidRPr="00CF059A" w:rsidRDefault="00CF059A" w:rsidP="00FC7371">
      <w:pPr>
        <w:spacing w:after="160" w:line="276" w:lineRule="auto"/>
        <w:jc w:val="both"/>
        <w:rPr>
          <w:rFonts w:ascii="Bookman Old Style" w:hAnsi="Bookman Old Style" w:cs="Times New Roman"/>
          <w:b/>
          <w:bCs/>
          <w:sz w:val="22"/>
          <w:szCs w:val="22"/>
        </w:rPr>
      </w:pPr>
      <w:r w:rsidRPr="00CF059A">
        <w:rPr>
          <w:rFonts w:ascii="Bookman Old Style" w:hAnsi="Bookman Old Style" w:cs="Times New Roman"/>
          <w:b/>
          <w:bCs/>
          <w:sz w:val="22"/>
          <w:szCs w:val="22"/>
        </w:rPr>
        <w:t xml:space="preserve">NOMINA ENERGY MANAGER IN CONVEZIONE CON ALTRI COMUNI </w:t>
      </w:r>
    </w:p>
    <w:p w14:paraId="6A3B8AFA" w14:textId="77777777" w:rsidR="00CF059A" w:rsidRDefault="00CF059A" w:rsidP="007818D0">
      <w:pPr>
        <w:spacing w:line="276" w:lineRule="auto"/>
        <w:jc w:val="both"/>
        <w:rPr>
          <w:rFonts w:ascii="Bookman Old Style" w:hAnsi="Bookman Old Style" w:cs="Times New Roman"/>
          <w:b/>
          <w:bCs/>
          <w:sz w:val="22"/>
          <w:szCs w:val="22"/>
        </w:rPr>
      </w:pPr>
    </w:p>
    <w:p w14:paraId="4AF6AC26" w14:textId="7437070B" w:rsidR="00CF059A" w:rsidRDefault="007818D0" w:rsidP="00CF059A">
      <w:pPr>
        <w:spacing w:line="276" w:lineRule="auto"/>
        <w:jc w:val="center"/>
        <w:rPr>
          <w:rFonts w:ascii="Bookman Old Style" w:hAnsi="Bookman Old Style" w:cs="Times New Roman"/>
          <w:b/>
          <w:bCs/>
          <w:sz w:val="22"/>
          <w:szCs w:val="22"/>
        </w:rPr>
      </w:pPr>
      <w:r w:rsidRPr="001A28C0">
        <w:rPr>
          <w:rFonts w:ascii="Bookman Old Style" w:hAnsi="Bookman Old Style" w:cs="Times New Roman"/>
          <w:b/>
          <w:bCs/>
          <w:sz w:val="22"/>
          <w:szCs w:val="22"/>
        </w:rPr>
        <w:t>Art. 10</w:t>
      </w:r>
    </w:p>
    <w:p w14:paraId="5F012266" w14:textId="094F86E5" w:rsidR="007818D0" w:rsidRPr="001A28C0" w:rsidRDefault="007818D0" w:rsidP="00CF059A">
      <w:pPr>
        <w:spacing w:line="276" w:lineRule="auto"/>
        <w:jc w:val="center"/>
        <w:rPr>
          <w:rFonts w:ascii="Bookman Old Style" w:hAnsi="Bookman Old Style" w:cs="Times New Roman"/>
          <w:b/>
          <w:bCs/>
          <w:i/>
          <w:iCs/>
          <w:sz w:val="22"/>
          <w:szCs w:val="22"/>
        </w:rPr>
      </w:pPr>
      <w:r w:rsidRPr="001A28C0">
        <w:rPr>
          <w:rFonts w:ascii="Bookman Old Style" w:hAnsi="Bookman Old Style" w:cs="Times New Roman"/>
          <w:b/>
          <w:bCs/>
          <w:sz w:val="22"/>
          <w:szCs w:val="22"/>
        </w:rPr>
        <w:t>(</w:t>
      </w:r>
      <w:r w:rsidRPr="001A28C0">
        <w:rPr>
          <w:rFonts w:ascii="Bookman Old Style" w:hAnsi="Bookman Old Style" w:cs="Times New Roman"/>
          <w:b/>
          <w:bCs/>
          <w:i/>
          <w:iCs/>
          <w:sz w:val="22"/>
          <w:szCs w:val="22"/>
        </w:rPr>
        <w:t>Disposizioni urgenti</w:t>
      </w:r>
      <w:r w:rsidRPr="001A28C0">
        <w:rPr>
          <w:rFonts w:ascii="Bookman Old Style" w:hAnsi="Bookman Old Style" w:cs="TimesNewRomanPS-ItalicMT"/>
          <w:i/>
          <w:iCs/>
          <w:sz w:val="22"/>
          <w:szCs w:val="22"/>
        </w:rPr>
        <w:t xml:space="preserve"> </w:t>
      </w:r>
      <w:r w:rsidRPr="001A28C0">
        <w:rPr>
          <w:rFonts w:ascii="Bookman Old Style" w:hAnsi="Bookman Old Style" w:cs="Times New Roman"/>
          <w:b/>
          <w:bCs/>
          <w:i/>
          <w:iCs/>
          <w:sz w:val="22"/>
          <w:szCs w:val="22"/>
        </w:rPr>
        <w:t>per le funzionalità delle pubbliche amministrazioni operanti nei settori dell’ambiente e della sicurezza energetica)</w:t>
      </w:r>
    </w:p>
    <w:p w14:paraId="30960F73" w14:textId="77777777" w:rsidR="00CF059A" w:rsidRDefault="00CF059A" w:rsidP="007818D0">
      <w:pPr>
        <w:spacing w:line="276" w:lineRule="auto"/>
        <w:jc w:val="both"/>
        <w:rPr>
          <w:rFonts w:ascii="Bookman Old Style" w:hAnsi="Bookman Old Style" w:cs="Times New Roman"/>
          <w:sz w:val="22"/>
          <w:szCs w:val="22"/>
        </w:rPr>
      </w:pPr>
    </w:p>
    <w:p w14:paraId="499193D2" w14:textId="7E1617A5" w:rsidR="007818D0" w:rsidRPr="001A28C0" w:rsidRDefault="007818D0" w:rsidP="007818D0">
      <w:pPr>
        <w:spacing w:line="276" w:lineRule="auto"/>
        <w:jc w:val="both"/>
        <w:rPr>
          <w:rFonts w:ascii="Bookman Old Style" w:hAnsi="Bookman Old Style"/>
          <w:b/>
          <w:bCs/>
          <w:sz w:val="22"/>
          <w:szCs w:val="22"/>
        </w:rPr>
      </w:pPr>
      <w:r w:rsidRPr="001A28C0">
        <w:rPr>
          <w:rFonts w:ascii="Bookman Old Style" w:hAnsi="Bookman Old Style" w:cs="Times New Roman"/>
          <w:sz w:val="22"/>
          <w:szCs w:val="22"/>
        </w:rPr>
        <w:t xml:space="preserve">Dopo il comma 4, è aggiunto il seguente comma 4 </w:t>
      </w:r>
      <w:r w:rsidRPr="001A28C0">
        <w:rPr>
          <w:rFonts w:ascii="Bookman Old Style" w:hAnsi="Bookman Old Style" w:cs="Times New Roman"/>
          <w:i/>
          <w:iCs/>
          <w:sz w:val="22"/>
          <w:szCs w:val="22"/>
        </w:rPr>
        <w:t>bis</w:t>
      </w:r>
      <w:r w:rsidRPr="001A28C0">
        <w:rPr>
          <w:rFonts w:ascii="Bookman Old Style" w:hAnsi="Bookman Old Style" w:cs="Times New Roman"/>
          <w:sz w:val="22"/>
          <w:szCs w:val="22"/>
        </w:rPr>
        <w:t>:</w:t>
      </w:r>
      <w:r w:rsidRPr="001A28C0">
        <w:rPr>
          <w:rFonts w:ascii="Bookman Old Style" w:hAnsi="Bookman Old Style"/>
          <w:b/>
          <w:bCs/>
          <w:sz w:val="22"/>
          <w:szCs w:val="22"/>
        </w:rPr>
        <w:t xml:space="preserve"> </w:t>
      </w:r>
    </w:p>
    <w:p w14:paraId="70E0C749" w14:textId="77777777" w:rsidR="007818D0" w:rsidRPr="001A28C0" w:rsidRDefault="007818D0" w:rsidP="007818D0">
      <w:pPr>
        <w:spacing w:line="276" w:lineRule="auto"/>
        <w:jc w:val="both"/>
        <w:rPr>
          <w:rFonts w:ascii="Bookman Old Style" w:hAnsi="Bookman Old Style" w:cs="Times New Roman"/>
          <w:sz w:val="22"/>
          <w:szCs w:val="22"/>
        </w:rPr>
      </w:pPr>
      <w:r w:rsidRPr="001A28C0">
        <w:rPr>
          <w:rFonts w:ascii="Bookman Old Style" w:hAnsi="Bookman Old Style"/>
          <w:sz w:val="22"/>
          <w:szCs w:val="22"/>
        </w:rPr>
        <w:t xml:space="preserve">“4bis. </w:t>
      </w:r>
      <w:r w:rsidRPr="001A28C0">
        <w:rPr>
          <w:rFonts w:ascii="Bookman Old Style" w:hAnsi="Bookman Old Style" w:cs="Times New Roman"/>
          <w:sz w:val="22"/>
          <w:szCs w:val="22"/>
        </w:rPr>
        <w:t xml:space="preserve">All’art. 19 della Legge 9 gennaio 1991, n. 10 dopo il comma 1 aggiungere il seguente comma 1 </w:t>
      </w:r>
      <w:r w:rsidRPr="001A28C0">
        <w:rPr>
          <w:rFonts w:ascii="Bookman Old Style" w:hAnsi="Bookman Old Style" w:cs="Times New Roman"/>
          <w:i/>
          <w:iCs/>
          <w:sz w:val="22"/>
          <w:szCs w:val="22"/>
        </w:rPr>
        <w:t>bis</w:t>
      </w:r>
      <w:r w:rsidRPr="001A28C0">
        <w:rPr>
          <w:rFonts w:ascii="Bookman Old Style" w:hAnsi="Bookman Old Style" w:cs="Times New Roman"/>
          <w:sz w:val="22"/>
          <w:szCs w:val="22"/>
        </w:rPr>
        <w:t xml:space="preserve">: </w:t>
      </w:r>
    </w:p>
    <w:p w14:paraId="7A4A4037" w14:textId="77777777" w:rsidR="007818D0" w:rsidRPr="001A28C0" w:rsidRDefault="007818D0" w:rsidP="007818D0">
      <w:pPr>
        <w:spacing w:line="276" w:lineRule="auto"/>
        <w:jc w:val="both"/>
        <w:rPr>
          <w:rFonts w:ascii="Bookman Old Style" w:hAnsi="Bookman Old Style" w:cs="Times New Roman"/>
          <w:sz w:val="22"/>
          <w:szCs w:val="22"/>
        </w:rPr>
      </w:pPr>
      <w:r w:rsidRPr="001A28C0">
        <w:rPr>
          <w:rFonts w:ascii="Bookman Old Style" w:hAnsi="Bookman Old Style" w:cs="Times New Roman"/>
          <w:sz w:val="22"/>
          <w:szCs w:val="22"/>
        </w:rPr>
        <w:t>“1bis. I Comuni che siano tenuti, ai sensi del comma 1, alla nomina del responsabile per la conservazione e l’uso razionale dell’energia possono assolvere all’obbligo attraverso accordo, convenzione o associazione con altri Comuni, anche di dimensione superiore, a norma dell’art. 30 del D. Lgs. 18 agosto 2000, n. 267. La modalità di associazione tra più Comuni può essere impiegata anche dai Comuni che intendano dotarsi del responsabile per la conservazione e l’uso razionale dell’energia pur non rientrando tra i soggetti obbligati.”.</w:t>
      </w:r>
    </w:p>
    <w:p w14:paraId="0D8E7233" w14:textId="77777777" w:rsidR="007818D0" w:rsidRPr="001A28C0" w:rsidRDefault="007818D0" w:rsidP="007818D0">
      <w:pPr>
        <w:spacing w:line="276" w:lineRule="auto"/>
        <w:jc w:val="both"/>
        <w:rPr>
          <w:rFonts w:ascii="Bookman Old Style" w:hAnsi="Bookman Old Style" w:cs="Times New Roman"/>
          <w:sz w:val="22"/>
          <w:szCs w:val="22"/>
        </w:rPr>
      </w:pPr>
    </w:p>
    <w:p w14:paraId="0014F6EF" w14:textId="77777777" w:rsidR="00FC7371" w:rsidRPr="0015423B" w:rsidRDefault="00FC7371" w:rsidP="00FC7371">
      <w:pPr>
        <w:jc w:val="center"/>
        <w:rPr>
          <w:rFonts w:ascii="Bookman Old Style" w:hAnsi="Bookman Old Style"/>
          <w:b/>
          <w:bCs/>
          <w:sz w:val="22"/>
          <w:szCs w:val="22"/>
        </w:rPr>
      </w:pPr>
      <w:r w:rsidRPr="0015423B">
        <w:rPr>
          <w:rFonts w:ascii="Bookman Old Style" w:hAnsi="Bookman Old Style"/>
          <w:b/>
          <w:bCs/>
          <w:sz w:val="22"/>
          <w:szCs w:val="22"/>
        </w:rPr>
        <w:t>Motivazione</w:t>
      </w:r>
    </w:p>
    <w:p w14:paraId="51F00424" w14:textId="77777777" w:rsidR="007818D0" w:rsidRPr="00C57B84" w:rsidRDefault="007818D0" w:rsidP="007818D0">
      <w:pPr>
        <w:spacing w:line="276" w:lineRule="auto"/>
        <w:jc w:val="both"/>
        <w:rPr>
          <w:rFonts w:ascii="Bookman Old Style" w:hAnsi="Bookman Old Style" w:cs="Times New Roman"/>
          <w:i/>
          <w:iCs/>
          <w:sz w:val="22"/>
          <w:szCs w:val="22"/>
        </w:rPr>
      </w:pPr>
      <w:r w:rsidRPr="001A28C0">
        <w:rPr>
          <w:rFonts w:ascii="Bookman Old Style" w:hAnsi="Bookman Old Style" w:cs="Times New Roman"/>
          <w:i/>
          <w:iCs/>
          <w:sz w:val="22"/>
          <w:szCs w:val="22"/>
        </w:rPr>
        <w:t>L’obbligo di nominare “il responsabile per la conservazione e l’uso razionale dell’energia” deriva dall’art. 19 comma 1 della legge 9 gennaio 1991, n. 10. L’articolo non cita espressamente i Comuni quali soggetti obbligati ma l’obbligo per gli Enti Locali è stato esplicitato dalla circolare MISE del 18 dicembre 2014 e più precisamente nella nota esplicativa (“Soggetti obbligati”). L’intero impianto della legge in oggetto, vista la sua vetustà, andrebbe modificato in modo sostanziale, tuttavia, dati i lunghi tempi che richiede una modifica di questo tipo, si propone prioritariamente di inserire, dopo il comma 1, il comma 1bis, che consente ai Comuni – il problema si pone soprattutto per quelli di medie dimensioni - che siano tenuti alla nomina del responsabile per la conservazione e l’uso razionale dell’energia, di poter assolvere all’obbligo in oggetto stipulando una convenzione con altri Comuni, in una logica di bacino. Molti Comuni di medie dimensioni infatti manifestano difficoltà ad individuare una figura interna che sia dotata di competenze adeguate e/o che abbia sufficiente disponibilità temporale per svolgere al meglio la funzione di gestione razionale dell’energia e, allo stesso tempo, non hanno sufficienti risorse a disposizione per sostenere le spese di un professionista esterno che assolva alla funzione di energy manager.</w:t>
      </w:r>
      <w:r w:rsidRPr="00C57B84">
        <w:rPr>
          <w:rFonts w:ascii="Bookman Old Style" w:hAnsi="Bookman Old Style" w:cs="Times New Roman"/>
          <w:i/>
          <w:iCs/>
          <w:sz w:val="22"/>
          <w:szCs w:val="22"/>
        </w:rPr>
        <w:t xml:space="preserve"> </w:t>
      </w:r>
    </w:p>
    <w:p w14:paraId="7FDBB3F6" w14:textId="77777777" w:rsidR="007818D0" w:rsidRDefault="007818D0" w:rsidP="007818D0">
      <w:pPr>
        <w:spacing w:line="276" w:lineRule="auto"/>
        <w:rPr>
          <w:rFonts w:ascii="Bookman Old Style" w:hAnsi="Bookman Old Style" w:cs="Times New Roman"/>
          <w:b/>
          <w:bCs/>
          <w:sz w:val="22"/>
          <w:szCs w:val="22"/>
        </w:rPr>
      </w:pPr>
    </w:p>
    <w:p w14:paraId="2A93F13C" w14:textId="77777777" w:rsidR="007818D0" w:rsidRPr="00C57B84" w:rsidRDefault="007818D0" w:rsidP="007818D0">
      <w:pPr>
        <w:spacing w:line="276" w:lineRule="auto"/>
        <w:rPr>
          <w:rFonts w:ascii="Bookman Old Style" w:hAnsi="Bookman Old Style" w:cs="Times New Roman"/>
          <w:b/>
          <w:bCs/>
          <w:sz w:val="22"/>
          <w:szCs w:val="22"/>
        </w:rPr>
      </w:pPr>
    </w:p>
    <w:p w14:paraId="779273D9" w14:textId="77777777" w:rsidR="007818D0" w:rsidRDefault="007818D0" w:rsidP="007818D0">
      <w:pPr>
        <w:spacing w:line="276" w:lineRule="auto"/>
        <w:jc w:val="both"/>
        <w:rPr>
          <w:rFonts w:ascii="Bookman Old Style" w:hAnsi="Bookman Old Style" w:cs="Times New Roman"/>
          <w:i/>
          <w:iCs/>
          <w:sz w:val="22"/>
          <w:szCs w:val="22"/>
        </w:rPr>
      </w:pPr>
    </w:p>
    <w:p w14:paraId="4873321C" w14:textId="77777777" w:rsidR="007818D0" w:rsidRDefault="007818D0" w:rsidP="007818D0">
      <w:pPr>
        <w:spacing w:line="276" w:lineRule="auto"/>
        <w:jc w:val="both"/>
        <w:rPr>
          <w:rFonts w:ascii="Bookman Old Style" w:hAnsi="Bookman Old Style" w:cs="Times New Roman"/>
          <w:i/>
          <w:iCs/>
          <w:sz w:val="22"/>
          <w:szCs w:val="22"/>
        </w:rPr>
      </w:pPr>
    </w:p>
    <w:p w14:paraId="1BD14764" w14:textId="77777777" w:rsidR="007818D0" w:rsidRPr="00C57B84" w:rsidRDefault="007818D0" w:rsidP="007818D0">
      <w:pPr>
        <w:spacing w:line="276" w:lineRule="auto"/>
        <w:rPr>
          <w:rFonts w:ascii="Bookman Old Style" w:hAnsi="Bookman Old Style" w:cs="Times New Roman"/>
          <w:b/>
          <w:bCs/>
          <w:sz w:val="22"/>
          <w:szCs w:val="22"/>
          <w:u w:val="single"/>
        </w:rPr>
      </w:pPr>
    </w:p>
    <w:p w14:paraId="46AC7915" w14:textId="6546815C" w:rsidR="007818D0" w:rsidRPr="00CF059A" w:rsidRDefault="00CF059A" w:rsidP="00FC7371">
      <w:pPr>
        <w:spacing w:after="160" w:line="276" w:lineRule="auto"/>
        <w:jc w:val="both"/>
        <w:rPr>
          <w:rFonts w:ascii="Bookman Old Style" w:hAnsi="Bookman Old Style" w:cs="Times New Roman"/>
          <w:b/>
          <w:bCs/>
          <w:sz w:val="22"/>
          <w:szCs w:val="22"/>
        </w:rPr>
      </w:pPr>
      <w:r w:rsidRPr="00CF059A">
        <w:rPr>
          <w:rFonts w:ascii="Bookman Old Style" w:hAnsi="Bookman Old Style" w:cs="Times New Roman"/>
          <w:b/>
          <w:bCs/>
          <w:sz w:val="22"/>
          <w:szCs w:val="22"/>
        </w:rPr>
        <w:t xml:space="preserve">MISURA SU PERSONALE CON RIFERIMENTO AL PROGRAMMA INTEGRATO DI INTERVENTI SULLA MOBILITÀ URBANA E METROPOLITANA DI CUI ALL’ART. 14 DEL DL 131/2024 </w:t>
      </w:r>
    </w:p>
    <w:p w14:paraId="2ACA966A" w14:textId="77777777" w:rsidR="00E01E60" w:rsidRDefault="00E01E60" w:rsidP="007818D0">
      <w:pPr>
        <w:spacing w:line="276" w:lineRule="auto"/>
        <w:jc w:val="both"/>
        <w:rPr>
          <w:rFonts w:ascii="Bookman Old Style" w:hAnsi="Bookman Old Style" w:cs="Times New Roman"/>
          <w:sz w:val="22"/>
          <w:szCs w:val="22"/>
        </w:rPr>
      </w:pPr>
    </w:p>
    <w:p w14:paraId="67498B21" w14:textId="461FF43B" w:rsidR="007818D0" w:rsidRPr="00C87876" w:rsidRDefault="007818D0" w:rsidP="007818D0">
      <w:pPr>
        <w:spacing w:line="276" w:lineRule="auto"/>
        <w:jc w:val="both"/>
        <w:rPr>
          <w:rFonts w:ascii="Bookman Old Style" w:hAnsi="Bookman Old Style" w:cs="Times New Roman"/>
          <w:sz w:val="22"/>
          <w:szCs w:val="22"/>
        </w:rPr>
      </w:pPr>
      <w:r w:rsidRPr="00581242">
        <w:rPr>
          <w:rFonts w:ascii="Bookman Old Style" w:hAnsi="Bookman Old Style" w:cs="Times New Roman"/>
          <w:sz w:val="22"/>
          <w:szCs w:val="22"/>
        </w:rPr>
        <w:t>Dopo l’articolo</w:t>
      </w:r>
      <w:r w:rsidR="00E01E60">
        <w:rPr>
          <w:rFonts w:ascii="Bookman Old Style" w:hAnsi="Bookman Old Style" w:cs="Times New Roman"/>
          <w:sz w:val="22"/>
          <w:szCs w:val="22"/>
        </w:rPr>
        <w:t>10,</w:t>
      </w:r>
      <w:r w:rsidRPr="00581242">
        <w:rPr>
          <w:rFonts w:ascii="Bookman Old Style" w:hAnsi="Bookman Old Style" w:cs="Times New Roman"/>
          <w:sz w:val="22"/>
          <w:szCs w:val="22"/>
        </w:rPr>
        <w:t xml:space="preserve"> è inserito il seguente: </w:t>
      </w:r>
    </w:p>
    <w:p w14:paraId="0B6B5CF7" w14:textId="77777777" w:rsidR="007818D0" w:rsidRPr="00C57B84" w:rsidRDefault="007818D0" w:rsidP="007818D0">
      <w:pPr>
        <w:spacing w:line="276" w:lineRule="auto"/>
        <w:jc w:val="center"/>
        <w:rPr>
          <w:rFonts w:ascii="Bookman Old Style" w:hAnsi="Bookman Old Style" w:cs="Times New Roman"/>
          <w:b/>
          <w:bCs/>
          <w:sz w:val="22"/>
          <w:szCs w:val="22"/>
        </w:rPr>
      </w:pPr>
      <w:r w:rsidRPr="00C57B84">
        <w:rPr>
          <w:rFonts w:ascii="Bookman Old Style" w:hAnsi="Bookman Old Style" w:cs="Times New Roman"/>
          <w:b/>
          <w:bCs/>
          <w:sz w:val="22"/>
          <w:szCs w:val="22"/>
        </w:rPr>
        <w:t>Articolo 10-</w:t>
      </w:r>
      <w:r w:rsidRPr="00C57B84">
        <w:rPr>
          <w:rFonts w:ascii="Bookman Old Style" w:hAnsi="Bookman Old Style" w:cs="Times New Roman"/>
          <w:b/>
          <w:bCs/>
          <w:i/>
          <w:iCs/>
          <w:sz w:val="22"/>
          <w:szCs w:val="22"/>
        </w:rPr>
        <w:t>bis</w:t>
      </w:r>
    </w:p>
    <w:p w14:paraId="30DA1964" w14:textId="77777777" w:rsidR="007818D0" w:rsidRPr="00C57B84" w:rsidRDefault="007818D0" w:rsidP="007818D0">
      <w:pPr>
        <w:spacing w:line="276" w:lineRule="auto"/>
        <w:jc w:val="center"/>
        <w:rPr>
          <w:rFonts w:ascii="Bookman Old Style" w:hAnsi="Bookman Old Style"/>
          <w:b/>
          <w:bCs/>
          <w:sz w:val="22"/>
          <w:szCs w:val="22"/>
        </w:rPr>
      </w:pPr>
      <w:r w:rsidRPr="00C57B84">
        <w:rPr>
          <w:rFonts w:ascii="Bookman Old Style" w:hAnsi="Bookman Old Style" w:cs="Times New Roman"/>
          <w:b/>
          <w:bCs/>
          <w:sz w:val="22"/>
          <w:szCs w:val="22"/>
        </w:rPr>
        <w:lastRenderedPageBreak/>
        <w:t xml:space="preserve"> (</w:t>
      </w:r>
      <w:r w:rsidRPr="00A76DCF">
        <w:rPr>
          <w:rFonts w:ascii="Bookman Old Style" w:hAnsi="Bookman Old Style" w:cs="Times New Roman"/>
          <w:b/>
          <w:bCs/>
          <w:i/>
          <w:iCs/>
          <w:sz w:val="22"/>
          <w:szCs w:val="22"/>
        </w:rPr>
        <w:t>Disposizioni urgenti</w:t>
      </w:r>
      <w:r w:rsidRPr="00C57B84">
        <w:rPr>
          <w:rFonts w:ascii="Bookman Old Style" w:hAnsi="Bookman Old Style" w:cs="TimesNewRomanPS-ItalicMT"/>
          <w:i/>
          <w:iCs/>
          <w:sz w:val="22"/>
          <w:szCs w:val="22"/>
        </w:rPr>
        <w:t xml:space="preserve"> </w:t>
      </w:r>
      <w:r w:rsidRPr="00C57B84">
        <w:rPr>
          <w:rFonts w:ascii="Bookman Old Style" w:hAnsi="Bookman Old Style" w:cs="Times New Roman"/>
          <w:b/>
          <w:bCs/>
          <w:i/>
          <w:iCs/>
          <w:sz w:val="22"/>
          <w:szCs w:val="22"/>
        </w:rPr>
        <w:t xml:space="preserve">per le funzionalità delle </w:t>
      </w:r>
      <w:r>
        <w:rPr>
          <w:rFonts w:ascii="Bookman Old Style" w:hAnsi="Bookman Old Style" w:cs="Times New Roman"/>
          <w:b/>
          <w:bCs/>
          <w:i/>
          <w:iCs/>
          <w:sz w:val="22"/>
          <w:szCs w:val="22"/>
        </w:rPr>
        <w:t>amministrazioni locali</w:t>
      </w:r>
      <w:r w:rsidRPr="00F13A9F">
        <w:rPr>
          <w:rFonts w:ascii="Bookman Old Style" w:hAnsi="Bookman Old Style" w:cs="Times New Roman"/>
          <w:b/>
          <w:bCs/>
          <w:i/>
          <w:iCs/>
          <w:sz w:val="22"/>
          <w:szCs w:val="22"/>
        </w:rPr>
        <w:t xml:space="preserve"> </w:t>
      </w:r>
      <w:r>
        <w:rPr>
          <w:rFonts w:ascii="Bookman Old Style" w:hAnsi="Bookman Old Style" w:cs="Times New Roman"/>
          <w:b/>
          <w:bCs/>
          <w:i/>
          <w:iCs/>
          <w:sz w:val="22"/>
          <w:szCs w:val="22"/>
        </w:rPr>
        <w:t xml:space="preserve">per la realizzazione del Programma di </w:t>
      </w:r>
      <w:r w:rsidRPr="002212AF">
        <w:rPr>
          <w:rFonts w:ascii="Bookman Old Style" w:hAnsi="Bookman Old Style" w:cs="Times New Roman"/>
          <w:b/>
          <w:bCs/>
          <w:i/>
          <w:iCs/>
          <w:sz w:val="22"/>
          <w:szCs w:val="22"/>
        </w:rPr>
        <w:t>integrato di interventi sulla mobilità urbana e metropolitana” – art. 14 commi 1-3 DL 131/2024</w:t>
      </w:r>
      <w:r w:rsidRPr="00C57B84">
        <w:rPr>
          <w:rFonts w:ascii="Bookman Old Style" w:hAnsi="Bookman Old Style" w:cs="Times New Roman"/>
          <w:b/>
          <w:bCs/>
          <w:i/>
          <w:iCs/>
          <w:sz w:val="22"/>
          <w:szCs w:val="22"/>
        </w:rPr>
        <w:t>)</w:t>
      </w:r>
      <w:r w:rsidRPr="002212AF">
        <w:rPr>
          <w:rFonts w:ascii="Bookman Old Style" w:hAnsi="Bookman Old Style" w:cs="Times New Roman"/>
          <w:b/>
          <w:bCs/>
          <w:i/>
          <w:iCs/>
          <w:sz w:val="22"/>
          <w:szCs w:val="22"/>
        </w:rPr>
        <w:t xml:space="preserve"> </w:t>
      </w:r>
    </w:p>
    <w:p w14:paraId="3A0CEADE" w14:textId="77777777" w:rsidR="007818D0" w:rsidRDefault="007818D0" w:rsidP="007818D0">
      <w:pPr>
        <w:pStyle w:val="xmsonormal"/>
        <w:spacing w:line="276" w:lineRule="auto"/>
        <w:jc w:val="both"/>
        <w:rPr>
          <w:rFonts w:ascii="Bookman Old Style" w:hAnsi="Bookman Old Style" w:cs="Times New Roman"/>
        </w:rPr>
      </w:pPr>
    </w:p>
    <w:p w14:paraId="1C9B22D0" w14:textId="77777777" w:rsidR="007818D0" w:rsidRPr="00434FCB" w:rsidRDefault="007818D0" w:rsidP="007818D0">
      <w:pPr>
        <w:pStyle w:val="xmsonormal"/>
        <w:spacing w:line="276" w:lineRule="auto"/>
        <w:jc w:val="both"/>
        <w:rPr>
          <w:rFonts w:ascii="Bookman Old Style" w:hAnsi="Bookman Old Style" w:cs="Times New Roman"/>
          <w:bCs/>
        </w:rPr>
      </w:pPr>
      <w:r>
        <w:rPr>
          <w:rFonts w:ascii="Bookman Old Style" w:hAnsi="Bookman Old Style" w:cs="Times New Roman"/>
        </w:rPr>
        <w:t xml:space="preserve">1. </w:t>
      </w:r>
      <w:r w:rsidRPr="00C57B84">
        <w:rPr>
          <w:rFonts w:ascii="Bookman Old Style" w:hAnsi="Bookman Old Style" w:cs="Times New Roman"/>
        </w:rPr>
        <w:t xml:space="preserve">All’articolo </w:t>
      </w:r>
      <w:r>
        <w:rPr>
          <w:rFonts w:ascii="Bookman Old Style" w:hAnsi="Bookman Old Style" w:cs="Times New Roman"/>
        </w:rPr>
        <w:t>14</w:t>
      </w:r>
      <w:r w:rsidRPr="00C57B84">
        <w:rPr>
          <w:rFonts w:ascii="Bookman Old Style" w:hAnsi="Bookman Old Style" w:cs="Times New Roman"/>
        </w:rPr>
        <w:t xml:space="preserve"> del decreto</w:t>
      </w:r>
      <w:r>
        <w:rPr>
          <w:rFonts w:ascii="Bookman Old Style" w:hAnsi="Bookman Old Style" w:cs="Times New Roman"/>
        </w:rPr>
        <w:t>-legge</w:t>
      </w:r>
      <w:r w:rsidRPr="00C57B84">
        <w:rPr>
          <w:rFonts w:ascii="Bookman Old Style" w:hAnsi="Bookman Old Style" w:cs="Times New Roman"/>
        </w:rPr>
        <w:t xml:space="preserve"> </w:t>
      </w:r>
      <w:r>
        <w:rPr>
          <w:rFonts w:ascii="Bookman Old Style" w:hAnsi="Bookman Old Style" w:cs="Times New Roman"/>
        </w:rPr>
        <w:t>16</w:t>
      </w:r>
      <w:r w:rsidRPr="00C57B84">
        <w:rPr>
          <w:rFonts w:ascii="Bookman Old Style" w:hAnsi="Bookman Old Style" w:cs="Times New Roman"/>
        </w:rPr>
        <w:t xml:space="preserve"> </w:t>
      </w:r>
      <w:r>
        <w:rPr>
          <w:rFonts w:ascii="Bookman Old Style" w:hAnsi="Bookman Old Style" w:cs="Times New Roman"/>
        </w:rPr>
        <w:t>settembre</w:t>
      </w:r>
      <w:r w:rsidRPr="00C57B84">
        <w:rPr>
          <w:rFonts w:ascii="Bookman Old Style" w:hAnsi="Bookman Old Style" w:cs="Times New Roman"/>
        </w:rPr>
        <w:t xml:space="preserve"> 202</w:t>
      </w:r>
      <w:r>
        <w:rPr>
          <w:rFonts w:ascii="Bookman Old Style" w:hAnsi="Bookman Old Style" w:cs="Times New Roman"/>
        </w:rPr>
        <w:t>4</w:t>
      </w:r>
      <w:r w:rsidRPr="00C57B84">
        <w:rPr>
          <w:rFonts w:ascii="Bookman Old Style" w:hAnsi="Bookman Old Style" w:cs="Times New Roman"/>
        </w:rPr>
        <w:t>, n. 1</w:t>
      </w:r>
      <w:r>
        <w:rPr>
          <w:rFonts w:ascii="Bookman Old Style" w:hAnsi="Bookman Old Style" w:cs="Times New Roman"/>
        </w:rPr>
        <w:t>31</w:t>
      </w:r>
      <w:r w:rsidRPr="00C57B84">
        <w:rPr>
          <w:rFonts w:ascii="Bookman Old Style" w:hAnsi="Bookman Old Style" w:cs="Times New Roman"/>
        </w:rPr>
        <w:t xml:space="preserve">, dopo il comma </w:t>
      </w:r>
      <w:r>
        <w:rPr>
          <w:rFonts w:ascii="Bookman Old Style" w:hAnsi="Bookman Old Style" w:cs="Times New Roman"/>
        </w:rPr>
        <w:t>3</w:t>
      </w:r>
      <w:r w:rsidRPr="00C57B84">
        <w:rPr>
          <w:rFonts w:ascii="Bookman Old Style" w:hAnsi="Bookman Old Style" w:cs="Times New Roman"/>
        </w:rPr>
        <w:t xml:space="preserve"> è aggiunto il seguente: “3</w:t>
      </w:r>
      <w:r>
        <w:rPr>
          <w:rFonts w:ascii="Bookman Old Style" w:hAnsi="Bookman Old Style" w:cs="Times New Roman"/>
        </w:rPr>
        <w:t xml:space="preserve">-bis. </w:t>
      </w:r>
      <w:r w:rsidRPr="00434FCB">
        <w:rPr>
          <w:rFonts w:ascii="Bookman Old Style" w:hAnsi="Bookman Old Style" w:cs="Times New Roman"/>
          <w:bCs/>
        </w:rPr>
        <w:t>Al fine di garantire il più efficace dispiegamento degli interventi previsti dal Programma, alla luce dell’innovatività degli obiettivi, delle modalità e dei tempi, nonché del concomitante impegno dei beneficiari sull’attuazione del Piano di Ripresa e Resilienza, si applicano le deroghe in materia di personale di cui all’art. 10, commi 1 e 2 del Decreto Legge n. 36/2022 come convertito in Legge 79/2022 e successive modificazioni e integrazioni apportate dall’art. 36, comma 2 quater del Decreto Legge n. 19/2024 convertito in legge 56/2024</w:t>
      </w:r>
      <w:r>
        <w:rPr>
          <w:rFonts w:ascii="Bookman Old Style" w:hAnsi="Bookman Old Style" w:cs="Times New Roman"/>
          <w:bCs/>
        </w:rPr>
        <w:t>.</w:t>
      </w:r>
      <w:r w:rsidRPr="00434FCB">
        <w:rPr>
          <w:rFonts w:ascii="Bookman Old Style" w:hAnsi="Bookman Old Style" w:cs="Times New Roman"/>
          <w:bCs/>
        </w:rPr>
        <w:t>”.</w:t>
      </w:r>
    </w:p>
    <w:p w14:paraId="06934914" w14:textId="77777777" w:rsidR="007818D0" w:rsidRPr="00C57B84" w:rsidRDefault="007818D0" w:rsidP="007818D0">
      <w:pPr>
        <w:pStyle w:val="xmsonormal"/>
        <w:spacing w:line="276" w:lineRule="auto"/>
        <w:rPr>
          <w:rFonts w:ascii="Bookman Old Style" w:hAnsi="Bookman Old Style"/>
        </w:rPr>
      </w:pPr>
    </w:p>
    <w:p w14:paraId="25F7F3E8" w14:textId="77777777" w:rsidR="00E01E60" w:rsidRPr="00FC7371" w:rsidRDefault="00E01E60" w:rsidP="00E01E60">
      <w:pPr>
        <w:spacing w:line="276" w:lineRule="auto"/>
        <w:jc w:val="center"/>
        <w:rPr>
          <w:rFonts w:ascii="Bookman Old Style" w:hAnsi="Bookman Old Style" w:cs="Times New Roman"/>
          <w:b/>
          <w:bCs/>
          <w:sz w:val="22"/>
          <w:szCs w:val="22"/>
        </w:rPr>
      </w:pPr>
      <w:r w:rsidRPr="00FC7371">
        <w:rPr>
          <w:rFonts w:ascii="Bookman Old Style" w:hAnsi="Bookman Old Style" w:cs="Times New Roman"/>
          <w:b/>
          <w:bCs/>
          <w:sz w:val="22"/>
          <w:szCs w:val="22"/>
        </w:rPr>
        <w:t>Motivazione</w:t>
      </w:r>
    </w:p>
    <w:p w14:paraId="1FDB3C54" w14:textId="77777777" w:rsidR="007818D0" w:rsidRDefault="007818D0" w:rsidP="007818D0">
      <w:pPr>
        <w:pStyle w:val="xmsonormal"/>
        <w:spacing w:line="276" w:lineRule="auto"/>
        <w:jc w:val="both"/>
        <w:rPr>
          <w:rFonts w:ascii="Bookman Old Style" w:hAnsi="Bookman Old Style" w:cs="Times New Roman"/>
          <w:i/>
          <w:iCs/>
        </w:rPr>
      </w:pPr>
      <w:r>
        <w:rPr>
          <w:rFonts w:ascii="Bookman Old Style" w:hAnsi="Bookman Old Style" w:cs="Times New Roman"/>
          <w:i/>
          <w:iCs/>
        </w:rPr>
        <w:t>D</w:t>
      </w:r>
      <w:r w:rsidRPr="007E7E13">
        <w:rPr>
          <w:rFonts w:ascii="Bookman Old Style" w:hAnsi="Bookman Old Style" w:cs="Times New Roman"/>
          <w:i/>
          <w:iCs/>
        </w:rPr>
        <w:t xml:space="preserve">ata la scarsa dotazione delle strutture di risorse umane incardinate e dedicate alla mobilità, e il sovrapporsi temporalmente con l’attuazione del Piano di Ripresa e Resilienza, al fine di non perdere esperienza maturata di figure chiavi nella mobilità e di esperienza rispetto ai problemi e al funzionamento della macchina amministrativa locale, </w:t>
      </w:r>
      <w:r>
        <w:rPr>
          <w:rFonts w:ascii="Bookman Old Style" w:hAnsi="Bookman Old Style" w:cs="Times New Roman"/>
          <w:i/>
          <w:iCs/>
        </w:rPr>
        <w:t xml:space="preserve">l’emendamento ha la finalità di </w:t>
      </w:r>
      <w:r w:rsidRPr="007E7E13">
        <w:rPr>
          <w:rFonts w:ascii="Bookman Old Style" w:hAnsi="Bookman Old Style" w:cs="Times New Roman"/>
          <w:i/>
          <w:iCs/>
        </w:rPr>
        <w:t xml:space="preserve">mutuare dalla normativa speciale legata al PNRR la possibilità di conferire incarichi di consulenza ai sensi dell’articolo 7, comma 6, del decreto legislativo 30 marzo 2001 n. 165, anche in deroga al divieto di attribuire incarichi retribuiti a lavoratori collocati in quiescenza ai sensi dell’articolo 5, comma 9, del decreto legge 6 luglio 2012 n. 95 convertito con modificazioni dalla legge 7 agosto 2012 n. 135. La deroga è fondamentale in questo frangente per garantire il più efficace dispiegamento del programma soprattutto nelle amministrazioni – molteplici – interessate di recente da pensionamenti e avvicendamenti anche a seguito delle tornate elettorali. </w:t>
      </w:r>
    </w:p>
    <w:p w14:paraId="38A63430" w14:textId="77777777" w:rsidR="007818D0" w:rsidRPr="00693C51" w:rsidRDefault="007818D0" w:rsidP="007818D0">
      <w:pPr>
        <w:pStyle w:val="xmsonormal"/>
        <w:spacing w:line="276" w:lineRule="auto"/>
        <w:jc w:val="both"/>
        <w:rPr>
          <w:rFonts w:ascii="Bookman Old Style" w:hAnsi="Bookman Old Style" w:cs="Times New Roman"/>
          <w:b/>
          <w:bCs/>
          <w:i/>
          <w:iCs/>
        </w:rPr>
      </w:pPr>
      <w:r w:rsidRPr="00693C51">
        <w:rPr>
          <w:rFonts w:ascii="Bookman Old Style" w:hAnsi="Bookman Old Style" w:cs="Times New Roman"/>
          <w:b/>
          <w:bCs/>
          <w:i/>
          <w:iCs/>
        </w:rPr>
        <w:t xml:space="preserve">La norma è a invarianza finanziaria per il bilancio statale, dato che l’attivazione di tali incarichi è limitata alla durata del Programma e dei relativi interventi, e la spesa trova copertura sui fondi aggiuntivi di cui all’art. 14 del D.L. 131/2024.  </w:t>
      </w:r>
    </w:p>
    <w:p w14:paraId="5B2CEED3" w14:textId="77777777" w:rsidR="007818D0" w:rsidRPr="00C57B84" w:rsidRDefault="007818D0" w:rsidP="007818D0">
      <w:pPr>
        <w:spacing w:line="276" w:lineRule="auto"/>
        <w:jc w:val="both"/>
        <w:rPr>
          <w:rFonts w:ascii="Bookman Old Style" w:hAnsi="Bookman Old Style" w:cs="Times New Roman"/>
          <w:b/>
          <w:bCs/>
          <w:sz w:val="22"/>
          <w:szCs w:val="22"/>
        </w:rPr>
      </w:pPr>
    </w:p>
    <w:p w14:paraId="7C6AAC38" w14:textId="77777777" w:rsidR="00CF059A" w:rsidRDefault="00CF059A" w:rsidP="00E01E60">
      <w:pPr>
        <w:spacing w:after="160" w:line="276" w:lineRule="auto"/>
        <w:jc w:val="both"/>
        <w:rPr>
          <w:rFonts w:ascii="Bookman Old Style" w:hAnsi="Bookman Old Style" w:cs="Times New Roman"/>
          <w:b/>
          <w:bCs/>
          <w:sz w:val="22"/>
          <w:szCs w:val="22"/>
        </w:rPr>
      </w:pPr>
    </w:p>
    <w:p w14:paraId="65D3093D" w14:textId="51DF3E6D" w:rsidR="007818D0" w:rsidRPr="00CF059A" w:rsidRDefault="00CF059A" w:rsidP="00E01E60">
      <w:pPr>
        <w:spacing w:after="160" w:line="276" w:lineRule="auto"/>
        <w:jc w:val="both"/>
        <w:rPr>
          <w:rFonts w:ascii="Bookman Old Style" w:hAnsi="Bookman Old Style" w:cs="Times New Roman"/>
          <w:b/>
          <w:bCs/>
          <w:sz w:val="22"/>
          <w:szCs w:val="22"/>
        </w:rPr>
      </w:pPr>
      <w:r w:rsidRPr="00CF059A">
        <w:rPr>
          <w:rFonts w:ascii="Bookman Old Style" w:hAnsi="Bookman Old Style" w:cs="Times New Roman"/>
          <w:b/>
          <w:bCs/>
          <w:sz w:val="22"/>
          <w:szCs w:val="22"/>
        </w:rPr>
        <w:t>PROROGA DEGLI INTERVENTI INFRASTRUTTURE CICLABILI DI CUI AL DM N. 344 DEL 12/08/2020</w:t>
      </w:r>
    </w:p>
    <w:p w14:paraId="6C165B46" w14:textId="77777777" w:rsidR="007818D0" w:rsidRDefault="007818D0" w:rsidP="007818D0">
      <w:pPr>
        <w:pStyle w:val="Paragrafoelenco"/>
        <w:spacing w:line="276" w:lineRule="auto"/>
        <w:jc w:val="both"/>
        <w:rPr>
          <w:rFonts w:ascii="Bookman Old Style" w:hAnsi="Bookman Old Style" w:cs="Times New Roman"/>
          <w:b/>
          <w:bCs/>
          <w:sz w:val="22"/>
          <w:szCs w:val="22"/>
          <w:u w:val="single"/>
        </w:rPr>
      </w:pPr>
    </w:p>
    <w:p w14:paraId="744BFD0C" w14:textId="77777777" w:rsidR="00934C8A" w:rsidRDefault="00934C8A" w:rsidP="00934C8A">
      <w:pPr>
        <w:spacing w:line="276" w:lineRule="auto"/>
        <w:jc w:val="both"/>
        <w:rPr>
          <w:rFonts w:ascii="Bookman Old Style" w:hAnsi="Bookman Old Style" w:cs="Times New Roman"/>
          <w:sz w:val="22"/>
          <w:szCs w:val="22"/>
        </w:rPr>
      </w:pPr>
      <w:r w:rsidRPr="00581242">
        <w:rPr>
          <w:rFonts w:ascii="Bookman Old Style" w:hAnsi="Bookman Old Style" w:cs="Times New Roman"/>
          <w:sz w:val="22"/>
          <w:szCs w:val="22"/>
        </w:rPr>
        <w:t>Dopo l’articolo</w:t>
      </w:r>
      <w:r>
        <w:rPr>
          <w:rFonts w:ascii="Bookman Old Style" w:hAnsi="Bookman Old Style" w:cs="Times New Roman"/>
          <w:sz w:val="22"/>
          <w:szCs w:val="22"/>
        </w:rPr>
        <w:t>10,</w:t>
      </w:r>
      <w:r w:rsidRPr="00581242">
        <w:rPr>
          <w:rFonts w:ascii="Bookman Old Style" w:hAnsi="Bookman Old Style" w:cs="Times New Roman"/>
          <w:sz w:val="22"/>
          <w:szCs w:val="22"/>
        </w:rPr>
        <w:t xml:space="preserve"> è inserito il seguente: </w:t>
      </w:r>
    </w:p>
    <w:p w14:paraId="34E62CA1" w14:textId="77777777" w:rsidR="00934C8A" w:rsidRPr="00C87876" w:rsidRDefault="00934C8A" w:rsidP="00934C8A">
      <w:pPr>
        <w:spacing w:line="276" w:lineRule="auto"/>
        <w:jc w:val="both"/>
        <w:rPr>
          <w:rFonts w:ascii="Bookman Old Style" w:hAnsi="Bookman Old Style" w:cs="Times New Roman"/>
          <w:sz w:val="22"/>
          <w:szCs w:val="22"/>
        </w:rPr>
      </w:pPr>
    </w:p>
    <w:p w14:paraId="30B87EC6" w14:textId="3FDBA60F" w:rsidR="007818D0" w:rsidRDefault="007818D0" w:rsidP="007818D0">
      <w:pPr>
        <w:pStyle w:val="xmsonormal"/>
        <w:spacing w:line="276" w:lineRule="auto"/>
        <w:jc w:val="both"/>
        <w:rPr>
          <w:rFonts w:ascii="Bookman Old Style" w:hAnsi="Bookman Old Style" w:cs="Times New Roman"/>
        </w:rPr>
      </w:pPr>
      <w:r w:rsidRPr="000A23E5">
        <w:rPr>
          <w:rFonts w:ascii="Bookman Old Style" w:hAnsi="Bookman Old Style" w:cs="Times New Roman"/>
        </w:rPr>
        <w:t>10-ter: “</w:t>
      </w:r>
      <w:r w:rsidRPr="0039752F">
        <w:rPr>
          <w:rFonts w:ascii="Bookman Old Style" w:hAnsi="Bookman Old Style" w:cs="Times New Roman"/>
        </w:rPr>
        <w:t xml:space="preserve">Per gli enti interessati da eventi </w:t>
      </w:r>
      <w:r w:rsidR="00934C8A" w:rsidRPr="0039752F">
        <w:rPr>
          <w:rFonts w:ascii="Bookman Old Style" w:hAnsi="Bookman Old Style" w:cs="Times New Roman"/>
        </w:rPr>
        <w:t>emergenziali di</w:t>
      </w:r>
      <w:r w:rsidRPr="0039752F">
        <w:rPr>
          <w:rFonts w:ascii="Bookman Old Style" w:hAnsi="Bookman Old Style" w:cs="Times New Roman"/>
        </w:rPr>
        <w:t xml:space="preserve"> cui all'art. 7 del </w:t>
      </w:r>
      <w:proofErr w:type="spellStart"/>
      <w:r w:rsidRPr="0039752F">
        <w:rPr>
          <w:rFonts w:ascii="Bookman Old Style" w:hAnsi="Bookman Old Style" w:cs="Times New Roman"/>
        </w:rPr>
        <w:t>dlgs</w:t>
      </w:r>
      <w:proofErr w:type="spellEnd"/>
      <w:r w:rsidRPr="0039752F">
        <w:rPr>
          <w:rFonts w:ascii="Bookman Old Style" w:hAnsi="Bookman Old Style" w:cs="Times New Roman"/>
        </w:rPr>
        <w:t xml:space="preserve"> n 1 /2018</w:t>
      </w:r>
      <w:r>
        <w:rPr>
          <w:rFonts w:ascii="Bookman Old Style" w:hAnsi="Bookman Old Style" w:cs="Times New Roman"/>
        </w:rPr>
        <w:t xml:space="preserve">, </w:t>
      </w:r>
      <w:proofErr w:type="gramStart"/>
      <w:r w:rsidRPr="0039752F">
        <w:rPr>
          <w:rFonts w:ascii="Bookman Old Style" w:hAnsi="Bookman Old Style" w:cs="Times New Roman"/>
        </w:rPr>
        <w:t>per  i</w:t>
      </w:r>
      <w:proofErr w:type="gramEnd"/>
      <w:r w:rsidRPr="0039752F">
        <w:rPr>
          <w:rFonts w:ascii="Bookman Old Style" w:hAnsi="Bookman Old Style" w:cs="Times New Roman"/>
        </w:rPr>
        <w:t xml:space="preserve"> quali sia stato dichiarato lo stato di mobilitazione o di emergenza ai sensi degli artt. 23 o 24 dello stesso </w:t>
      </w:r>
      <w:proofErr w:type="spellStart"/>
      <w:r w:rsidRPr="0039752F">
        <w:rPr>
          <w:rFonts w:ascii="Bookman Old Style" w:hAnsi="Bookman Old Style" w:cs="Times New Roman"/>
        </w:rPr>
        <w:t>d</w:t>
      </w:r>
      <w:r>
        <w:rPr>
          <w:rFonts w:ascii="Bookman Old Style" w:hAnsi="Bookman Old Style" w:cs="Times New Roman"/>
        </w:rPr>
        <w:t>.</w:t>
      </w:r>
      <w:r w:rsidRPr="0039752F">
        <w:rPr>
          <w:rFonts w:ascii="Bookman Old Style" w:hAnsi="Bookman Old Style" w:cs="Times New Roman"/>
        </w:rPr>
        <w:t>lgs</w:t>
      </w:r>
      <w:proofErr w:type="spellEnd"/>
      <w:r w:rsidRPr="0039752F">
        <w:rPr>
          <w:rFonts w:ascii="Bookman Old Style" w:hAnsi="Bookman Old Style" w:cs="Times New Roman"/>
        </w:rPr>
        <w:t xml:space="preserve"> 1/18, </w:t>
      </w:r>
      <w:r>
        <w:rPr>
          <w:rFonts w:ascii="Bookman Old Style" w:hAnsi="Bookman Old Style" w:cs="Times New Roman"/>
        </w:rPr>
        <w:t>il</w:t>
      </w:r>
      <w:r w:rsidRPr="0039752F">
        <w:rPr>
          <w:rFonts w:ascii="Bookman Old Style" w:hAnsi="Bookman Old Style" w:cs="Times New Roman"/>
        </w:rPr>
        <w:t xml:space="preserve"> termin</w:t>
      </w:r>
      <w:r>
        <w:rPr>
          <w:rFonts w:ascii="Bookman Old Style" w:hAnsi="Bookman Old Style" w:cs="Times New Roman"/>
        </w:rPr>
        <w:t>e</w:t>
      </w:r>
      <w:r w:rsidRPr="0039752F">
        <w:rPr>
          <w:rFonts w:ascii="Bookman Old Style" w:hAnsi="Bookman Old Style" w:cs="Times New Roman"/>
        </w:rPr>
        <w:t xml:space="preserve"> di realizzazione </w:t>
      </w:r>
      <w:r>
        <w:rPr>
          <w:rFonts w:ascii="Bookman Old Style" w:hAnsi="Bookman Old Style" w:cs="Times New Roman"/>
        </w:rPr>
        <w:t xml:space="preserve">lavori </w:t>
      </w:r>
      <w:r w:rsidRPr="0039752F">
        <w:rPr>
          <w:rFonts w:ascii="Bookman Old Style" w:hAnsi="Bookman Old Style" w:cs="Times New Roman"/>
        </w:rPr>
        <w:t xml:space="preserve">degli interventi finanziati con </w:t>
      </w:r>
      <w:r>
        <w:rPr>
          <w:rFonts w:ascii="Bookman Old Style" w:hAnsi="Bookman Old Style" w:cs="Times New Roman"/>
        </w:rPr>
        <w:t>il</w:t>
      </w:r>
      <w:r w:rsidRPr="0039752F">
        <w:rPr>
          <w:rFonts w:ascii="Bookman Old Style" w:hAnsi="Bookman Old Style" w:cs="Times New Roman"/>
        </w:rPr>
        <w:t xml:space="preserve"> Decreto Ministeriale n. 344 del 12 agosto 2020</w:t>
      </w:r>
      <w:r>
        <w:rPr>
          <w:rFonts w:ascii="Bookman Old Style" w:hAnsi="Bookman Old Style" w:cs="Times New Roman"/>
        </w:rPr>
        <w:t>,</w:t>
      </w:r>
      <w:r w:rsidRPr="0039752F">
        <w:rPr>
          <w:rFonts w:ascii="Bookman Old Style" w:hAnsi="Bookman Old Style" w:cs="Times New Roman"/>
        </w:rPr>
        <w:t xml:space="preserve"> </w:t>
      </w:r>
      <w:r>
        <w:rPr>
          <w:rFonts w:ascii="Bookman Old Style" w:hAnsi="Bookman Old Style" w:cs="Times New Roman"/>
        </w:rPr>
        <w:t>a valere sulle risorse di cui al</w:t>
      </w:r>
      <w:r w:rsidRPr="00021855">
        <w:rPr>
          <w:rFonts w:ascii="Bookman Old Style" w:hAnsi="Bookman Old Style" w:cs="Times New Roman"/>
        </w:rPr>
        <w:t>l’articolo 1, comma 95</w:t>
      </w:r>
      <w:r>
        <w:rPr>
          <w:rFonts w:ascii="Bookman Old Style" w:hAnsi="Bookman Old Style" w:cs="Times New Roman"/>
        </w:rPr>
        <w:t xml:space="preserve"> del</w:t>
      </w:r>
      <w:r w:rsidRPr="00021855">
        <w:rPr>
          <w:rFonts w:ascii="Bookman Old Style" w:hAnsi="Bookman Old Style" w:cs="Times New Roman"/>
        </w:rPr>
        <w:t>la legge 30 dicembre 2018, n. 145,</w:t>
      </w:r>
      <w:r>
        <w:rPr>
          <w:rFonts w:ascii="Bookman Old Style" w:hAnsi="Bookman Old Style" w:cs="Times New Roman"/>
        </w:rPr>
        <w:t xml:space="preserve"> è stabilito al 31 dicembre 2025”.</w:t>
      </w:r>
    </w:p>
    <w:p w14:paraId="30E42C9A" w14:textId="77777777" w:rsidR="007818D0" w:rsidRDefault="007818D0" w:rsidP="007818D0">
      <w:pPr>
        <w:pStyle w:val="xmsonormal"/>
        <w:spacing w:line="276" w:lineRule="auto"/>
        <w:jc w:val="both"/>
        <w:rPr>
          <w:rFonts w:ascii="Bookman Old Style" w:hAnsi="Bookman Old Style" w:cs="Times New Roman"/>
        </w:rPr>
      </w:pPr>
      <w:r>
        <w:rPr>
          <w:rFonts w:ascii="Bookman Old Style" w:hAnsi="Bookman Old Style" w:cs="Times New Roman"/>
        </w:rPr>
        <w:t xml:space="preserve"> </w:t>
      </w:r>
      <w:bookmarkStart w:id="0" w:name="_Toc120881121"/>
    </w:p>
    <w:bookmarkEnd w:id="0"/>
    <w:p w14:paraId="3C8FCC0A" w14:textId="77777777" w:rsidR="007818D0" w:rsidRPr="00E01E60" w:rsidRDefault="007818D0" w:rsidP="00E01E60">
      <w:pPr>
        <w:pStyle w:val="xmsonormal"/>
        <w:spacing w:line="276" w:lineRule="auto"/>
        <w:jc w:val="center"/>
        <w:rPr>
          <w:rFonts w:ascii="Bookman Old Style" w:hAnsi="Bookman Old Style" w:cs="Times New Roman"/>
          <w:b/>
          <w:bCs/>
        </w:rPr>
      </w:pPr>
      <w:r w:rsidRPr="00E01E60">
        <w:rPr>
          <w:rFonts w:ascii="Bookman Old Style" w:hAnsi="Bookman Old Style" w:cs="Times New Roman"/>
          <w:b/>
          <w:bCs/>
        </w:rPr>
        <w:t>Motivazione</w:t>
      </w:r>
    </w:p>
    <w:p w14:paraId="73936908" w14:textId="77777777" w:rsidR="007818D0" w:rsidRPr="00682093" w:rsidRDefault="007818D0" w:rsidP="007818D0">
      <w:pPr>
        <w:spacing w:line="276" w:lineRule="auto"/>
        <w:jc w:val="both"/>
        <w:rPr>
          <w:rFonts w:ascii="Bookman Old Style" w:hAnsi="Bookman Old Style" w:cs="Times New Roman"/>
          <w:i/>
          <w:iCs/>
          <w:sz w:val="22"/>
          <w:szCs w:val="22"/>
        </w:rPr>
      </w:pPr>
      <w:r w:rsidRPr="00682093">
        <w:rPr>
          <w:rFonts w:ascii="Bookman Old Style" w:hAnsi="Bookman Old Style" w:cs="Times New Roman"/>
          <w:i/>
          <w:iCs/>
          <w:sz w:val="22"/>
          <w:szCs w:val="22"/>
        </w:rPr>
        <w:t xml:space="preserve">Le recenti avversità meteorologiche e alluvioni che hanno interessato molti Comuni e Città Metropolitane hanno interrotto o rallentato i lavori di realizzazione degli itinerari ciclabili, </w:t>
      </w:r>
      <w:r>
        <w:rPr>
          <w:rFonts w:ascii="Bookman Old Style" w:hAnsi="Bookman Old Style" w:cs="Times New Roman"/>
          <w:i/>
          <w:iCs/>
          <w:sz w:val="22"/>
          <w:szCs w:val="22"/>
        </w:rPr>
        <w:t xml:space="preserve">in moltissimi casi in fase di conclusione, compromettendo in alcuni casi anche le opere già </w:t>
      </w:r>
      <w:r>
        <w:rPr>
          <w:rFonts w:ascii="Bookman Old Style" w:hAnsi="Bookman Old Style" w:cs="Times New Roman"/>
          <w:i/>
          <w:iCs/>
          <w:sz w:val="22"/>
          <w:szCs w:val="22"/>
        </w:rPr>
        <w:lastRenderedPageBreak/>
        <w:t xml:space="preserve">realizzate insieme a tutto il tessuto infrastrutturale viario e ferroviario delle aree colpite. Le risorse per la realizzazione di tali interventi non sono quelle che concorrono al raggiungimento del target PNRR. </w:t>
      </w:r>
    </w:p>
    <w:p w14:paraId="79314A18" w14:textId="77777777" w:rsidR="007818D0" w:rsidRPr="00C57B84" w:rsidRDefault="007818D0" w:rsidP="007818D0">
      <w:pPr>
        <w:spacing w:line="276" w:lineRule="auto"/>
        <w:jc w:val="both"/>
        <w:rPr>
          <w:rFonts w:ascii="Bookman Old Style" w:hAnsi="Bookman Old Style" w:cs="Times New Roman"/>
          <w:i/>
          <w:iCs/>
          <w:sz w:val="22"/>
          <w:szCs w:val="22"/>
        </w:rPr>
      </w:pPr>
    </w:p>
    <w:p w14:paraId="27140D62" w14:textId="77777777" w:rsidR="007818D0" w:rsidRPr="00C57B84" w:rsidRDefault="007818D0" w:rsidP="007818D0">
      <w:pPr>
        <w:spacing w:line="276" w:lineRule="auto"/>
        <w:jc w:val="both"/>
        <w:rPr>
          <w:rFonts w:ascii="Bookman Old Style" w:hAnsi="Bookman Old Style" w:cs="Times New Roman"/>
          <w:i/>
          <w:iCs/>
          <w:sz w:val="22"/>
          <w:szCs w:val="22"/>
        </w:rPr>
      </w:pPr>
    </w:p>
    <w:p w14:paraId="22775868" w14:textId="77777777" w:rsidR="002B2846" w:rsidRPr="0015423B" w:rsidRDefault="002B2846" w:rsidP="00043788">
      <w:pPr>
        <w:rPr>
          <w:rFonts w:ascii="Bookman Old Style" w:hAnsi="Bookman Old Style"/>
          <w:sz w:val="22"/>
          <w:szCs w:val="22"/>
        </w:rPr>
      </w:pPr>
    </w:p>
    <w:p w14:paraId="695BACE3" w14:textId="77777777" w:rsidR="00CF059A" w:rsidRPr="009847A6" w:rsidRDefault="00CF059A" w:rsidP="00CF059A">
      <w:pPr>
        <w:rPr>
          <w:rFonts w:ascii="Bookman Old Style" w:hAnsi="Bookman Old Style"/>
          <w:sz w:val="22"/>
          <w:szCs w:val="22"/>
        </w:rPr>
      </w:pPr>
      <w:r w:rsidRPr="009847A6">
        <w:rPr>
          <w:rFonts w:ascii="Bookman Old Style" w:hAnsi="Bookman Old Style"/>
          <w:b/>
          <w:bCs/>
          <w:sz w:val="22"/>
          <w:szCs w:val="22"/>
        </w:rPr>
        <w:t>RIGENERAZIONE URBANA</w:t>
      </w:r>
    </w:p>
    <w:p w14:paraId="7D047C9E" w14:textId="77777777" w:rsidR="00CF059A" w:rsidRDefault="00CF059A" w:rsidP="00CF059A">
      <w:pPr>
        <w:rPr>
          <w:rFonts w:ascii="Bookman Old Style" w:hAnsi="Bookman Old Style"/>
          <w:i/>
          <w:iCs/>
          <w:sz w:val="22"/>
          <w:szCs w:val="22"/>
        </w:rPr>
      </w:pPr>
    </w:p>
    <w:p w14:paraId="302DB8C7" w14:textId="77777777" w:rsidR="00CF059A" w:rsidRPr="0015423B" w:rsidRDefault="00CF059A" w:rsidP="00CF059A">
      <w:pPr>
        <w:rPr>
          <w:rFonts w:ascii="Bookman Old Style" w:hAnsi="Bookman Old Style"/>
          <w:i/>
          <w:iCs/>
          <w:sz w:val="22"/>
          <w:szCs w:val="22"/>
        </w:rPr>
      </w:pPr>
      <w:r w:rsidRPr="0015423B">
        <w:rPr>
          <w:rFonts w:ascii="Bookman Old Style" w:hAnsi="Bookman Old Style"/>
          <w:i/>
          <w:iCs/>
          <w:sz w:val="22"/>
          <w:szCs w:val="22"/>
        </w:rPr>
        <w:t>Aggiungere il seguente articolo:</w:t>
      </w:r>
    </w:p>
    <w:p w14:paraId="65167C0A" w14:textId="77777777" w:rsidR="00CF059A" w:rsidRPr="0015423B" w:rsidRDefault="00CF059A" w:rsidP="00CF059A">
      <w:pPr>
        <w:jc w:val="center"/>
        <w:rPr>
          <w:rFonts w:ascii="Bookman Old Style" w:hAnsi="Bookman Old Style"/>
          <w:i/>
          <w:iCs/>
          <w:sz w:val="22"/>
          <w:szCs w:val="22"/>
        </w:rPr>
      </w:pPr>
    </w:p>
    <w:p w14:paraId="2AA16BFE" w14:textId="77777777" w:rsidR="00CF059A" w:rsidRPr="0015423B" w:rsidRDefault="00CF059A" w:rsidP="00CF059A">
      <w:pPr>
        <w:jc w:val="center"/>
        <w:rPr>
          <w:rFonts w:ascii="Bookman Old Style" w:hAnsi="Bookman Old Style"/>
          <w:b/>
          <w:bCs/>
          <w:i/>
          <w:iCs/>
          <w:sz w:val="22"/>
          <w:szCs w:val="22"/>
        </w:rPr>
      </w:pPr>
      <w:r w:rsidRPr="0015423B">
        <w:rPr>
          <w:rFonts w:ascii="Bookman Old Style" w:hAnsi="Bookman Old Style"/>
          <w:b/>
          <w:bCs/>
          <w:i/>
          <w:iCs/>
          <w:sz w:val="22"/>
          <w:szCs w:val="22"/>
        </w:rPr>
        <w:t>Art. XX</w:t>
      </w:r>
    </w:p>
    <w:p w14:paraId="0DB8B962" w14:textId="77777777" w:rsidR="00CF059A" w:rsidRPr="0015423B" w:rsidRDefault="00CF059A" w:rsidP="00CF059A">
      <w:pPr>
        <w:jc w:val="center"/>
        <w:rPr>
          <w:rFonts w:ascii="Bookman Old Style" w:hAnsi="Bookman Old Style"/>
          <w:b/>
          <w:bCs/>
          <w:i/>
          <w:iCs/>
          <w:sz w:val="22"/>
          <w:szCs w:val="22"/>
        </w:rPr>
      </w:pPr>
      <w:r w:rsidRPr="0015423B">
        <w:rPr>
          <w:rFonts w:ascii="Bookman Old Style" w:hAnsi="Bookman Old Style"/>
          <w:b/>
          <w:bCs/>
          <w:i/>
          <w:iCs/>
          <w:sz w:val="22"/>
          <w:szCs w:val="22"/>
        </w:rPr>
        <w:t xml:space="preserve"> (Rigenerazione Urbana)</w:t>
      </w:r>
    </w:p>
    <w:p w14:paraId="02AC8A5F" w14:textId="77777777" w:rsidR="00CF059A" w:rsidRPr="0015423B" w:rsidRDefault="00CF059A" w:rsidP="00CF059A">
      <w:pPr>
        <w:jc w:val="center"/>
        <w:rPr>
          <w:rFonts w:ascii="Bookman Old Style" w:hAnsi="Bookman Old Style"/>
          <w:b/>
          <w:bCs/>
          <w:i/>
          <w:iCs/>
          <w:sz w:val="22"/>
          <w:szCs w:val="22"/>
        </w:rPr>
      </w:pPr>
    </w:p>
    <w:p w14:paraId="3045009B" w14:textId="77777777" w:rsidR="00CF059A" w:rsidRPr="0015423B" w:rsidRDefault="00CF059A" w:rsidP="00CF059A">
      <w:pPr>
        <w:jc w:val="both"/>
        <w:rPr>
          <w:rFonts w:ascii="Bookman Old Style" w:hAnsi="Bookman Old Style"/>
          <w:sz w:val="22"/>
          <w:szCs w:val="22"/>
        </w:rPr>
      </w:pPr>
      <w:r w:rsidRPr="0015423B">
        <w:rPr>
          <w:rFonts w:ascii="Bookman Old Style" w:hAnsi="Bookman Old Style"/>
          <w:sz w:val="22"/>
          <w:szCs w:val="22"/>
        </w:rPr>
        <w:t>1. Alla legge 234/2921, art. 1, comma 538, lettera a) le parole “quindici mesi” sono sostituite dalle seguenti “trenta mesi” e alla lettera b) le parole “venti mesi” sono sostituite dalle seguenti “trentasei mesi”.</w:t>
      </w:r>
    </w:p>
    <w:p w14:paraId="62350696" w14:textId="77777777" w:rsidR="00CF059A" w:rsidRPr="0015423B" w:rsidRDefault="00CF059A" w:rsidP="00CF059A">
      <w:pPr>
        <w:jc w:val="both"/>
        <w:rPr>
          <w:rFonts w:ascii="Bookman Old Style" w:hAnsi="Bookman Old Style"/>
          <w:sz w:val="22"/>
          <w:szCs w:val="22"/>
        </w:rPr>
      </w:pPr>
      <w:r w:rsidRPr="0015423B">
        <w:rPr>
          <w:rFonts w:ascii="Bookman Old Style" w:hAnsi="Bookman Old Style"/>
          <w:sz w:val="22"/>
          <w:szCs w:val="22"/>
        </w:rPr>
        <w:t>Conseguentemente, sono fatti salvi i contributi per i quali non sia stata ancora avviata, alla data di entrata in vigore della legge di conversione del presente decreto-legge, la procedura di affidamento dei lavori.</w:t>
      </w:r>
    </w:p>
    <w:p w14:paraId="274A95E4" w14:textId="77777777" w:rsidR="00CF059A" w:rsidRPr="0015423B" w:rsidRDefault="00CF059A" w:rsidP="00CF059A">
      <w:pPr>
        <w:jc w:val="both"/>
        <w:rPr>
          <w:rFonts w:ascii="Bookman Old Style" w:hAnsi="Bookman Old Style"/>
          <w:sz w:val="22"/>
          <w:szCs w:val="22"/>
        </w:rPr>
      </w:pPr>
    </w:p>
    <w:p w14:paraId="736506CB" w14:textId="77777777" w:rsidR="00CF059A" w:rsidRPr="0015423B" w:rsidRDefault="00CF059A" w:rsidP="00CF059A">
      <w:pPr>
        <w:jc w:val="both"/>
        <w:rPr>
          <w:rFonts w:ascii="Bookman Old Style" w:hAnsi="Bookman Old Style"/>
          <w:sz w:val="22"/>
          <w:szCs w:val="22"/>
        </w:rPr>
      </w:pPr>
      <w:r w:rsidRPr="0015423B">
        <w:rPr>
          <w:rFonts w:ascii="Bookman Old Style" w:hAnsi="Bookman Old Style"/>
          <w:sz w:val="22"/>
          <w:szCs w:val="22"/>
        </w:rPr>
        <w:t>2. L’art. 8-ter, comma 1, ultimo periodo, del decreto-legge 8 agosto 2024, n. 113, come convertito in legge 7 ottobre 2024, n. 143, è abrogato.</w:t>
      </w:r>
    </w:p>
    <w:p w14:paraId="05C29814" w14:textId="77777777" w:rsidR="00CF059A" w:rsidRPr="0015423B" w:rsidRDefault="00CF059A" w:rsidP="00CF059A">
      <w:pPr>
        <w:jc w:val="center"/>
        <w:rPr>
          <w:rFonts w:ascii="Bookman Old Style" w:hAnsi="Bookman Old Style"/>
          <w:sz w:val="22"/>
          <w:szCs w:val="22"/>
        </w:rPr>
      </w:pPr>
    </w:p>
    <w:p w14:paraId="1550F456" w14:textId="77777777" w:rsidR="00CF059A" w:rsidRPr="0015423B" w:rsidRDefault="00CF059A" w:rsidP="00CF059A">
      <w:pPr>
        <w:jc w:val="center"/>
        <w:rPr>
          <w:rFonts w:ascii="Bookman Old Style" w:hAnsi="Bookman Old Style"/>
          <w:b/>
          <w:bCs/>
          <w:sz w:val="22"/>
          <w:szCs w:val="22"/>
        </w:rPr>
      </w:pPr>
      <w:r w:rsidRPr="0015423B">
        <w:rPr>
          <w:rFonts w:ascii="Bookman Old Style" w:hAnsi="Bookman Old Style"/>
          <w:b/>
          <w:bCs/>
          <w:sz w:val="22"/>
          <w:szCs w:val="22"/>
        </w:rPr>
        <w:t>Motivazione</w:t>
      </w:r>
    </w:p>
    <w:p w14:paraId="5DBA3C24" w14:textId="77777777" w:rsidR="00CF059A" w:rsidRPr="0015423B" w:rsidRDefault="00CF059A" w:rsidP="00CF059A">
      <w:pPr>
        <w:jc w:val="both"/>
        <w:rPr>
          <w:rFonts w:ascii="Bookman Old Style" w:hAnsi="Bookman Old Style"/>
          <w:i/>
          <w:iCs/>
          <w:sz w:val="22"/>
          <w:szCs w:val="22"/>
        </w:rPr>
      </w:pPr>
      <w:r w:rsidRPr="0015423B">
        <w:rPr>
          <w:rFonts w:ascii="Bookman Old Style" w:hAnsi="Bookman Old Style"/>
          <w:i/>
          <w:iCs/>
          <w:sz w:val="22"/>
          <w:szCs w:val="22"/>
        </w:rPr>
        <w:t>La norma di cui al comma 1 mira a prorogare i termini di affidamento dei lavori relativi ai progetti di rigenerazione urbana di cui al comma 534 e seguenti della legge di bilancio 2022. Molti Comuni beneficiari dei contributi, a causa delle tempistiche stringenti tra ottenimento del finanziamento e termini per l’affidamento dei lavori, non sono riusciti ad aggiudicare in tempo. Tale norma, dunque, consentirebbe ai suddetti Comuni di realizzare importanti progetti di rigenerazione urbana, per i quali sono già state stanziate le risorse necessarie e avviate le procedure per la progettazione e affidamento dei relativi lavori.</w:t>
      </w:r>
    </w:p>
    <w:p w14:paraId="4CA2140F" w14:textId="77777777" w:rsidR="00CF059A" w:rsidRPr="0015423B" w:rsidRDefault="00CF059A" w:rsidP="00CF059A">
      <w:pPr>
        <w:jc w:val="both"/>
        <w:rPr>
          <w:rFonts w:ascii="Bookman Old Style" w:hAnsi="Bookman Old Style"/>
          <w:i/>
          <w:iCs/>
          <w:sz w:val="22"/>
          <w:szCs w:val="22"/>
        </w:rPr>
      </w:pPr>
      <w:r w:rsidRPr="0015423B">
        <w:rPr>
          <w:rFonts w:ascii="Bookman Old Style" w:hAnsi="Bookman Old Style"/>
          <w:i/>
          <w:iCs/>
          <w:sz w:val="22"/>
          <w:szCs w:val="22"/>
        </w:rPr>
        <w:t>In merito al comma 2, l’art. 8 ter del Decreto-Legge 113/2024 così come convertito dalla L. 7 ottobre 2024, n. 143 ha introdotto una scadenza per la stipula dei contratti per lavori relativamente ai progetti di rigenerazione urbana di cui all’art.1 commi 42 e seguenti della l.160/2019. Si tratta di un termine non previsto in alcuna norma precedente, né nei decreti di assegnazione delle risorse, né negli atti d’obbligo sottoscritti dai Comuni. Si tratta dunque di un termine non noto ai Comuni che la norma ha inserito a posteriori, non consentendo in alcun modo l’adeguamento alla previsione, mettendo a rischio diversi importanti progetti di pronta cantierabilità e per i quali sono già state effettuate ingenti spese di progettazione che verrebbero così vanificate producendo una diffusa situazione di esposizione per le finanze comunali e uno spreco di risorse.</w:t>
      </w:r>
    </w:p>
    <w:p w14:paraId="00E85B45" w14:textId="77777777" w:rsidR="00CF059A" w:rsidRPr="0015423B" w:rsidRDefault="00CF059A" w:rsidP="00CF059A">
      <w:pPr>
        <w:jc w:val="both"/>
        <w:rPr>
          <w:rFonts w:ascii="Bookman Old Style" w:hAnsi="Bookman Old Style"/>
          <w:i/>
          <w:iCs/>
          <w:sz w:val="22"/>
          <w:szCs w:val="22"/>
        </w:rPr>
      </w:pPr>
      <w:r w:rsidRPr="0015423B">
        <w:rPr>
          <w:rFonts w:ascii="Bookman Old Style" w:hAnsi="Bookman Old Style"/>
          <w:i/>
          <w:iCs/>
          <w:sz w:val="22"/>
          <w:szCs w:val="22"/>
        </w:rPr>
        <w:t>Trattandosi inoltre di un investimento parzialmente finanziato dal PNRR, la norma nella sua formulazione attuale rischia di mettere a rischio il raggiungimento del target finale dell’investimento riducendo il numero di progetti realizzati e compromettendo il conseguimento degli obiettivi della rata finale. La previsione, in ultimo, contraddice le disposizioni dell’art.2 del Decreto-Legge 19/2024 in base al quale in caso di superamento dei termini intermedi non espressamente stabiliti dal PNRR non si provvede a revoca delle risorse qualora sia attestata la possibilità di completamento entro i termini del PNRR stesso.</w:t>
      </w:r>
    </w:p>
    <w:p w14:paraId="6D02150B" w14:textId="77777777" w:rsidR="00CF059A" w:rsidRDefault="00CF059A" w:rsidP="00CF059A">
      <w:pPr>
        <w:rPr>
          <w:rFonts w:ascii="Bookman Old Style" w:hAnsi="Bookman Old Style"/>
          <w:sz w:val="22"/>
          <w:szCs w:val="22"/>
        </w:rPr>
      </w:pPr>
    </w:p>
    <w:p w14:paraId="4B5B8942" w14:textId="77777777" w:rsidR="00E41D3C" w:rsidRDefault="00E41D3C" w:rsidP="00CF059A">
      <w:pPr>
        <w:rPr>
          <w:rFonts w:ascii="Bookman Old Style" w:hAnsi="Bookman Old Style"/>
          <w:sz w:val="22"/>
          <w:szCs w:val="22"/>
        </w:rPr>
      </w:pPr>
    </w:p>
    <w:p w14:paraId="03EE42EF" w14:textId="77777777" w:rsidR="00CF059A" w:rsidRDefault="00CF059A" w:rsidP="00CF059A">
      <w:pPr>
        <w:rPr>
          <w:rFonts w:ascii="Bookman Old Style" w:hAnsi="Bookman Old Style"/>
          <w:sz w:val="22"/>
          <w:szCs w:val="22"/>
        </w:rPr>
      </w:pPr>
    </w:p>
    <w:p w14:paraId="2D624630" w14:textId="77777777" w:rsidR="00E41D3C" w:rsidRPr="00E41D3C" w:rsidRDefault="00E41D3C" w:rsidP="00E41D3C">
      <w:pPr>
        <w:jc w:val="both"/>
        <w:rPr>
          <w:rFonts w:ascii="Bookman Old Style" w:hAnsi="Bookman Old Style"/>
          <w:b/>
          <w:bCs/>
          <w:i/>
          <w:iCs/>
          <w:color w:val="000000"/>
          <w:sz w:val="22"/>
          <w:szCs w:val="22"/>
        </w:rPr>
      </w:pPr>
    </w:p>
    <w:p w14:paraId="2E2B57DC" w14:textId="797A9676" w:rsidR="00E41D3C" w:rsidRDefault="00E41D3C" w:rsidP="00E41D3C">
      <w:pPr>
        <w:jc w:val="both"/>
        <w:rPr>
          <w:rFonts w:ascii="Bookman Old Style" w:hAnsi="Bookman Old Style"/>
          <w:b/>
          <w:bCs/>
          <w:color w:val="000000"/>
          <w:sz w:val="22"/>
          <w:szCs w:val="22"/>
        </w:rPr>
      </w:pPr>
      <w:bookmarkStart w:id="1" w:name="_Toc181268774"/>
      <w:bookmarkStart w:id="2" w:name="_Toc181958360"/>
      <w:r w:rsidRPr="00E41D3C">
        <w:rPr>
          <w:rFonts w:ascii="Bookman Old Style" w:hAnsi="Bookman Old Style"/>
          <w:b/>
          <w:bCs/>
          <w:color w:val="000000"/>
          <w:sz w:val="22"/>
          <w:szCs w:val="22"/>
        </w:rPr>
        <w:lastRenderedPageBreak/>
        <w:t>PROROGA TERMINI DI EFFICACIA DELLE DELIBERAZIONI FISCALI DEGLI ENTI LOCALI</w:t>
      </w:r>
      <w:bookmarkEnd w:id="1"/>
      <w:bookmarkEnd w:id="2"/>
    </w:p>
    <w:p w14:paraId="46BFF1C6" w14:textId="77777777" w:rsidR="00E41D3C" w:rsidRDefault="00E41D3C" w:rsidP="00E41D3C">
      <w:pPr>
        <w:jc w:val="both"/>
        <w:rPr>
          <w:rFonts w:ascii="Bookman Old Style" w:hAnsi="Bookman Old Style"/>
          <w:b/>
          <w:bCs/>
          <w:color w:val="000000"/>
          <w:sz w:val="22"/>
          <w:szCs w:val="22"/>
        </w:rPr>
      </w:pPr>
    </w:p>
    <w:p w14:paraId="5886320D" w14:textId="4BAD5C8B" w:rsidR="00E41D3C" w:rsidRPr="00414521" w:rsidRDefault="00E41D3C" w:rsidP="00E41D3C">
      <w:pPr>
        <w:jc w:val="both"/>
        <w:rPr>
          <w:rFonts w:ascii="Bookman Old Style" w:hAnsi="Bookman Old Style"/>
          <w:color w:val="000000"/>
          <w:sz w:val="22"/>
          <w:szCs w:val="22"/>
        </w:rPr>
      </w:pPr>
      <w:r w:rsidRPr="00414521">
        <w:rPr>
          <w:rFonts w:ascii="Bookman Old Style" w:hAnsi="Bookman Old Style"/>
          <w:color w:val="000000"/>
          <w:sz w:val="22"/>
          <w:szCs w:val="22"/>
        </w:rPr>
        <w:t>Aggiungere il seguente articolo:</w:t>
      </w:r>
    </w:p>
    <w:p w14:paraId="76945BEC" w14:textId="77777777" w:rsidR="00414521" w:rsidRDefault="00414521" w:rsidP="00E41D3C">
      <w:pPr>
        <w:jc w:val="both"/>
        <w:rPr>
          <w:rFonts w:ascii="Bookman Old Style" w:hAnsi="Bookman Old Style"/>
          <w:b/>
          <w:bCs/>
          <w:color w:val="000000"/>
          <w:sz w:val="22"/>
          <w:szCs w:val="22"/>
        </w:rPr>
      </w:pPr>
    </w:p>
    <w:p w14:paraId="039D569F" w14:textId="77777777" w:rsidR="00E41D3C" w:rsidRDefault="00E41D3C" w:rsidP="00E41D3C">
      <w:pPr>
        <w:jc w:val="both"/>
        <w:rPr>
          <w:rFonts w:ascii="Bookman Old Style" w:hAnsi="Bookman Old Style"/>
          <w:b/>
          <w:bCs/>
          <w:color w:val="000000"/>
          <w:sz w:val="22"/>
          <w:szCs w:val="22"/>
        </w:rPr>
      </w:pPr>
    </w:p>
    <w:p w14:paraId="22BCBFE9" w14:textId="3E1B15A7" w:rsidR="00E41D3C" w:rsidRDefault="00E41D3C" w:rsidP="00E41D3C">
      <w:pPr>
        <w:jc w:val="center"/>
        <w:rPr>
          <w:rFonts w:ascii="Bookman Old Style" w:hAnsi="Bookman Old Style"/>
          <w:b/>
          <w:bCs/>
          <w:color w:val="000000"/>
          <w:sz w:val="22"/>
          <w:szCs w:val="22"/>
        </w:rPr>
      </w:pPr>
      <w:r>
        <w:rPr>
          <w:rFonts w:ascii="Bookman Old Style" w:hAnsi="Bookman Old Style"/>
          <w:b/>
          <w:bCs/>
          <w:color w:val="000000"/>
          <w:sz w:val="22"/>
          <w:szCs w:val="22"/>
        </w:rPr>
        <w:t>Art. XX</w:t>
      </w:r>
    </w:p>
    <w:p w14:paraId="68729FCE" w14:textId="08A450CF" w:rsidR="00E41D3C" w:rsidRDefault="00E41D3C" w:rsidP="00E41D3C">
      <w:pPr>
        <w:jc w:val="center"/>
        <w:rPr>
          <w:rFonts w:ascii="Bookman Old Style" w:hAnsi="Bookman Old Style"/>
          <w:b/>
          <w:bCs/>
          <w:color w:val="000000"/>
          <w:sz w:val="22"/>
          <w:szCs w:val="22"/>
        </w:rPr>
      </w:pPr>
      <w:r>
        <w:rPr>
          <w:rFonts w:ascii="Bookman Old Style" w:hAnsi="Bookman Old Style"/>
          <w:b/>
          <w:bCs/>
          <w:color w:val="000000"/>
          <w:sz w:val="22"/>
          <w:szCs w:val="22"/>
        </w:rPr>
        <w:t>(</w:t>
      </w:r>
      <w:r w:rsidRPr="00E41D3C">
        <w:rPr>
          <w:rFonts w:ascii="Bookman Old Style" w:hAnsi="Bookman Old Style"/>
          <w:b/>
          <w:bCs/>
          <w:color w:val="000000"/>
          <w:sz w:val="22"/>
          <w:szCs w:val="22"/>
        </w:rPr>
        <w:t>proroga termini di efficacia delle deliberazioni fiscali degli enti locali</w:t>
      </w:r>
      <w:r>
        <w:rPr>
          <w:rFonts w:ascii="Bookman Old Style" w:hAnsi="Bookman Old Style"/>
          <w:b/>
          <w:bCs/>
          <w:color w:val="000000"/>
          <w:sz w:val="22"/>
          <w:szCs w:val="22"/>
        </w:rPr>
        <w:t>)</w:t>
      </w:r>
    </w:p>
    <w:p w14:paraId="0F0668D5" w14:textId="106994DB" w:rsidR="00E41D3C" w:rsidRDefault="00E41D3C" w:rsidP="00E41D3C">
      <w:pPr>
        <w:jc w:val="both"/>
        <w:rPr>
          <w:rFonts w:ascii="Bookman Old Style" w:hAnsi="Bookman Old Style"/>
          <w:b/>
          <w:bCs/>
          <w:color w:val="000000"/>
          <w:sz w:val="22"/>
          <w:szCs w:val="22"/>
        </w:rPr>
      </w:pPr>
    </w:p>
    <w:p w14:paraId="427DC148" w14:textId="77777777" w:rsidR="00E41D3C" w:rsidRPr="00E41D3C" w:rsidRDefault="00E41D3C" w:rsidP="00E41D3C">
      <w:pPr>
        <w:jc w:val="both"/>
        <w:rPr>
          <w:rFonts w:ascii="Bookman Old Style" w:hAnsi="Bookman Old Style"/>
          <w:b/>
          <w:bCs/>
          <w:color w:val="000000"/>
          <w:sz w:val="22"/>
          <w:szCs w:val="22"/>
        </w:rPr>
      </w:pPr>
    </w:p>
    <w:p w14:paraId="4FD66425"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1. All'articolo 1, comma 72, della legge 30 dicembre 2023, n. 213, sono apportate le seguenti modificazioni:</w:t>
      </w:r>
    </w:p>
    <w:p w14:paraId="6ECCB562"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a) le parole “Limitatamente all’anno 2023” sono sostituite dalle parole “Limitatamente agli anni 2023 e 2024”;</w:t>
      </w:r>
    </w:p>
    <w:p w14:paraId="3E57578E"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b) le parole “entro il 30 novembre 2023” sono sostituite dalle parole “entro il 30 novembre di ciascun anno”</w:t>
      </w:r>
    </w:p>
    <w:p w14:paraId="37C6AC3E"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c) le parole “fissato al 15 gennaio 2024” sono modificate nelle parole “fissato al 15 gennaio di ciascun anno successivo”.</w:t>
      </w:r>
    </w:p>
    <w:p w14:paraId="5BCA8F34"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2. All'articolo 1, comma 73, della legge 30 dicembre 2023, n. 213, sono apportate le seguenti modificazioni:</w:t>
      </w:r>
    </w:p>
    <w:p w14:paraId="04E49F14"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a) le parole “entro il 18 dicembre 2023”, sono modificate nelle parole “entro il 18 dicembre 2023 e entro il 16 dicembre 2024”;</w:t>
      </w:r>
    </w:p>
    <w:p w14:paraId="51B765EE"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b) le parole “entro il 29 febbraio 2024”, sono modificate nelle parole “entro il mese di febbraio di ciascun anno successivo”.</w:t>
      </w:r>
    </w:p>
    <w:p w14:paraId="16863F70" w14:textId="77777777" w:rsidR="00E41D3C" w:rsidRDefault="00E41D3C" w:rsidP="00E41D3C">
      <w:pPr>
        <w:jc w:val="both"/>
        <w:rPr>
          <w:rFonts w:ascii="Bookman Old Style" w:hAnsi="Bookman Old Style"/>
          <w:i/>
          <w:iCs/>
          <w:color w:val="000000"/>
          <w:sz w:val="22"/>
          <w:szCs w:val="22"/>
        </w:rPr>
      </w:pPr>
    </w:p>
    <w:p w14:paraId="24B681EE" w14:textId="77777777" w:rsidR="00E41D3C" w:rsidRDefault="00E41D3C" w:rsidP="00E41D3C">
      <w:pPr>
        <w:jc w:val="both"/>
        <w:rPr>
          <w:rFonts w:ascii="Bookman Old Style" w:hAnsi="Bookman Old Style"/>
          <w:i/>
          <w:iCs/>
          <w:color w:val="000000"/>
          <w:sz w:val="22"/>
          <w:szCs w:val="22"/>
        </w:rPr>
      </w:pPr>
    </w:p>
    <w:p w14:paraId="03CE46FD" w14:textId="349760CD" w:rsidR="00E41D3C" w:rsidRPr="00E41D3C" w:rsidRDefault="00E41D3C" w:rsidP="00414521">
      <w:pPr>
        <w:jc w:val="center"/>
        <w:rPr>
          <w:rFonts w:ascii="Bookman Old Style" w:hAnsi="Bookman Old Style"/>
          <w:color w:val="000000"/>
          <w:sz w:val="22"/>
          <w:szCs w:val="22"/>
        </w:rPr>
      </w:pPr>
      <w:r w:rsidRPr="00E41D3C">
        <w:rPr>
          <w:rFonts w:ascii="Bookman Old Style" w:hAnsi="Bookman Old Style"/>
          <w:b/>
          <w:bCs/>
          <w:color w:val="000000"/>
          <w:sz w:val="22"/>
          <w:szCs w:val="22"/>
        </w:rPr>
        <w:t>Motivazione</w:t>
      </w:r>
    </w:p>
    <w:p w14:paraId="1B85FE20"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 xml:space="preserve">La norma proposta proroga anche per il 2024 il termine per l’inserimento nel portale del Mef delle delibere tributarie dei Comuni. </w:t>
      </w:r>
    </w:p>
    <w:p w14:paraId="7E72DD86"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 xml:space="preserve">Si deve ricordare che l’articolo 13, commi 15 e 15-ter, del Dl 201/2011, unitamente, per quanto riguarda </w:t>
      </w:r>
      <w:proofErr w:type="spellStart"/>
      <w:r w:rsidRPr="00E41D3C">
        <w:rPr>
          <w:rFonts w:ascii="Bookman Old Style" w:hAnsi="Bookman Old Style"/>
          <w:i/>
          <w:iCs/>
          <w:color w:val="000000"/>
          <w:sz w:val="22"/>
          <w:szCs w:val="22"/>
        </w:rPr>
        <w:t>l’Imu</w:t>
      </w:r>
      <w:proofErr w:type="spellEnd"/>
      <w:r w:rsidRPr="00E41D3C">
        <w:rPr>
          <w:rFonts w:ascii="Bookman Old Style" w:hAnsi="Bookman Old Style"/>
          <w:i/>
          <w:iCs/>
          <w:color w:val="000000"/>
          <w:sz w:val="22"/>
          <w:szCs w:val="22"/>
        </w:rPr>
        <w:t xml:space="preserve">, l’articolo 1, comma 767, della legge 160/2019, impongono, ai fini dell’efficacia dei provvedimenti, l’invio di tutte le deliberazioni relative ai regolamenti e alle tariffe dei tributi comunali al Ministero dell’Economia e delle finanze, tramite il «portale del federalismo fiscale», entro il termine perentorio del 14 ottobre di ogni anno, ai fini della successiva pubblicazione degli atti, da parte del MEF entro il successivo 28 ottobre.  </w:t>
      </w:r>
    </w:p>
    <w:p w14:paraId="17A95DF6"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Molti enti non hanno rispettato, anche per pochi giorni, il termine di invio al Mef, con gravi conseguenze per i bilanci comunali ed anche per i funzionari responsabili, in quanto l’inefficacia della delibera può comportare danno erariale.</w:t>
      </w:r>
    </w:p>
    <w:p w14:paraId="578658A5" w14:textId="77777777" w:rsidR="00E41D3C" w:rsidRPr="00E41D3C" w:rsidRDefault="00E41D3C" w:rsidP="00E41D3C">
      <w:pPr>
        <w:jc w:val="both"/>
        <w:rPr>
          <w:rFonts w:ascii="Bookman Old Style" w:hAnsi="Bookman Old Style"/>
          <w:i/>
          <w:iCs/>
          <w:color w:val="000000"/>
          <w:sz w:val="22"/>
          <w:szCs w:val="22"/>
        </w:rPr>
      </w:pPr>
      <w:r w:rsidRPr="00E41D3C">
        <w:rPr>
          <w:rFonts w:ascii="Bookman Old Style" w:hAnsi="Bookman Old Style"/>
          <w:i/>
          <w:iCs/>
          <w:color w:val="000000"/>
          <w:sz w:val="22"/>
          <w:szCs w:val="22"/>
        </w:rPr>
        <w:t>La norma proposta fa salve le delibere approvate nei termini di legge (31 marzo 2024) ed inviate entro il 30 novembre 2024, e consente di salvaguardare sia le esigenze di conoscenza delle misure d’imposta da applicare da parte dei contribuenti prima del pagamento (l’IMU va versata entro il 16 dicembre e le tariffe Tari 2023 possono essere applicate solo a decorrere dal 1° dicembre, in base all’art. 15-bis, dl 34/2019.</w:t>
      </w:r>
    </w:p>
    <w:p w14:paraId="45B37188" w14:textId="56CCFD5B" w:rsidR="002F0E04" w:rsidRPr="0015423B" w:rsidRDefault="002F0E04" w:rsidP="0028700E">
      <w:pPr>
        <w:jc w:val="both"/>
        <w:rPr>
          <w:rFonts w:ascii="Bookman Old Style" w:hAnsi="Bookman Old Style"/>
          <w:i/>
          <w:iCs/>
          <w:color w:val="000000"/>
          <w:sz w:val="22"/>
          <w:szCs w:val="22"/>
        </w:rPr>
      </w:pPr>
    </w:p>
    <w:sectPr w:rsidR="002F0E04" w:rsidRPr="0015423B">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0F633" w14:textId="77777777" w:rsidR="00043788" w:rsidRDefault="00043788" w:rsidP="00043788">
      <w:r>
        <w:separator/>
      </w:r>
    </w:p>
  </w:endnote>
  <w:endnote w:type="continuationSeparator" w:id="0">
    <w:p w14:paraId="44F73BE8" w14:textId="77777777" w:rsidR="00043788" w:rsidRDefault="00043788" w:rsidP="0004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E8766" w14:textId="77777777" w:rsidR="00043788" w:rsidRDefault="000437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647594"/>
      <w:docPartObj>
        <w:docPartGallery w:val="Page Numbers (Bottom of Page)"/>
        <w:docPartUnique/>
      </w:docPartObj>
    </w:sdtPr>
    <w:sdtEndPr/>
    <w:sdtContent>
      <w:p w14:paraId="16FF19E6" w14:textId="67F78EB1" w:rsidR="00043788" w:rsidRDefault="00043788">
        <w:pPr>
          <w:pStyle w:val="Pidipagina"/>
          <w:jc w:val="center"/>
        </w:pPr>
        <w:r>
          <w:fldChar w:fldCharType="begin"/>
        </w:r>
        <w:r>
          <w:instrText>PAGE   \* MERGEFORMAT</w:instrText>
        </w:r>
        <w:r>
          <w:fldChar w:fldCharType="separate"/>
        </w:r>
        <w:r>
          <w:t>2</w:t>
        </w:r>
        <w:r>
          <w:fldChar w:fldCharType="end"/>
        </w:r>
      </w:p>
    </w:sdtContent>
  </w:sdt>
  <w:p w14:paraId="644346DF" w14:textId="77777777" w:rsidR="00043788" w:rsidRDefault="0004378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A085A" w14:textId="77777777" w:rsidR="00043788" w:rsidRDefault="000437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31512B" w14:textId="77777777" w:rsidR="00043788" w:rsidRDefault="00043788" w:rsidP="00043788">
      <w:r>
        <w:separator/>
      </w:r>
    </w:p>
  </w:footnote>
  <w:footnote w:type="continuationSeparator" w:id="0">
    <w:p w14:paraId="35B8415F" w14:textId="77777777" w:rsidR="00043788" w:rsidRDefault="00043788" w:rsidP="0004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66E20" w14:textId="77777777" w:rsidR="00043788" w:rsidRDefault="0004378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1180C" w14:textId="77777777" w:rsidR="00043788" w:rsidRDefault="0004378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35377" w14:textId="77777777" w:rsidR="00043788" w:rsidRDefault="000437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1913"/>
    <w:multiLevelType w:val="multilevel"/>
    <w:tmpl w:val="69A8C5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76C5EB6"/>
    <w:multiLevelType w:val="hybridMultilevel"/>
    <w:tmpl w:val="35EA9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504825"/>
    <w:multiLevelType w:val="hybridMultilevel"/>
    <w:tmpl w:val="0C4AF1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EB4DF3"/>
    <w:multiLevelType w:val="hybridMultilevel"/>
    <w:tmpl w:val="FC40C270"/>
    <w:lvl w:ilvl="0" w:tplc="04100017">
      <w:start w:val="12"/>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2A225B1"/>
    <w:multiLevelType w:val="hybridMultilevel"/>
    <w:tmpl w:val="95A0825C"/>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8D21F12"/>
    <w:multiLevelType w:val="multilevel"/>
    <w:tmpl w:val="3F843D1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A947BDF"/>
    <w:multiLevelType w:val="hybridMultilevel"/>
    <w:tmpl w:val="E2E63C8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22F3F98"/>
    <w:multiLevelType w:val="hybridMultilevel"/>
    <w:tmpl w:val="F7FC18D0"/>
    <w:lvl w:ilvl="0" w:tplc="112C1FA4">
      <w:start w:val="6"/>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5B4554F"/>
    <w:multiLevelType w:val="hybridMultilevel"/>
    <w:tmpl w:val="91F033C6"/>
    <w:lvl w:ilvl="0" w:tplc="795C40AC">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821C7B"/>
    <w:multiLevelType w:val="hybridMultilevel"/>
    <w:tmpl w:val="A07066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F4102A"/>
    <w:multiLevelType w:val="hybridMultilevel"/>
    <w:tmpl w:val="7A36D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B754304"/>
    <w:multiLevelType w:val="hybridMultilevel"/>
    <w:tmpl w:val="1BFE6270"/>
    <w:lvl w:ilvl="0" w:tplc="112C1FA4">
      <w:start w:val="4"/>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96339038">
    <w:abstractNumId w:val="4"/>
  </w:num>
  <w:num w:numId="2" w16cid:durableId="1479807312">
    <w:abstractNumId w:val="10"/>
  </w:num>
  <w:num w:numId="3" w16cid:durableId="1308626701">
    <w:abstractNumId w:val="1"/>
  </w:num>
  <w:num w:numId="4" w16cid:durableId="1295524944">
    <w:abstractNumId w:val="6"/>
  </w:num>
  <w:num w:numId="5" w16cid:durableId="955332647">
    <w:abstractNumId w:val="3"/>
  </w:num>
  <w:num w:numId="6" w16cid:durableId="903223494">
    <w:abstractNumId w:val="2"/>
  </w:num>
  <w:num w:numId="7" w16cid:durableId="1105615785">
    <w:abstractNumId w:val="8"/>
  </w:num>
  <w:num w:numId="8" w16cid:durableId="228999365">
    <w:abstractNumId w:val="11"/>
  </w:num>
  <w:num w:numId="9" w16cid:durableId="1902251441">
    <w:abstractNumId w:val="7"/>
  </w:num>
  <w:num w:numId="10" w16cid:durableId="310869489">
    <w:abstractNumId w:val="5"/>
  </w:num>
  <w:num w:numId="11" w16cid:durableId="795489473">
    <w:abstractNumId w:val="0"/>
  </w:num>
  <w:num w:numId="12" w16cid:durableId="1639995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6A"/>
    <w:rsid w:val="00014AF4"/>
    <w:rsid w:val="000329B4"/>
    <w:rsid w:val="00043788"/>
    <w:rsid w:val="00051A7E"/>
    <w:rsid w:val="00057230"/>
    <w:rsid w:val="000614C0"/>
    <w:rsid w:val="00080F7C"/>
    <w:rsid w:val="000847AD"/>
    <w:rsid w:val="000C496B"/>
    <w:rsid w:val="000C6E66"/>
    <w:rsid w:val="000D5196"/>
    <w:rsid w:val="000D5A7D"/>
    <w:rsid w:val="000E6178"/>
    <w:rsid w:val="000E748E"/>
    <w:rsid w:val="000F1CEE"/>
    <w:rsid w:val="0010120A"/>
    <w:rsid w:val="001027A4"/>
    <w:rsid w:val="00113935"/>
    <w:rsid w:val="0015423B"/>
    <w:rsid w:val="00161B9B"/>
    <w:rsid w:val="00163EA5"/>
    <w:rsid w:val="0016490B"/>
    <w:rsid w:val="00176175"/>
    <w:rsid w:val="001A3F71"/>
    <w:rsid w:val="001A4114"/>
    <w:rsid w:val="001B41AC"/>
    <w:rsid w:val="001C63D6"/>
    <w:rsid w:val="001D408A"/>
    <w:rsid w:val="001E49AF"/>
    <w:rsid w:val="001E4D46"/>
    <w:rsid w:val="001F2224"/>
    <w:rsid w:val="00201C4B"/>
    <w:rsid w:val="00205433"/>
    <w:rsid w:val="00235502"/>
    <w:rsid w:val="00240660"/>
    <w:rsid w:val="00253B2B"/>
    <w:rsid w:val="002659A2"/>
    <w:rsid w:val="00274214"/>
    <w:rsid w:val="0028689B"/>
    <w:rsid w:val="0028700E"/>
    <w:rsid w:val="002A299A"/>
    <w:rsid w:val="002B2846"/>
    <w:rsid w:val="002D011D"/>
    <w:rsid w:val="002D204F"/>
    <w:rsid w:val="002E0753"/>
    <w:rsid w:val="002E585B"/>
    <w:rsid w:val="002F0E04"/>
    <w:rsid w:val="00307B16"/>
    <w:rsid w:val="00314292"/>
    <w:rsid w:val="00362407"/>
    <w:rsid w:val="00387FCF"/>
    <w:rsid w:val="003A2B25"/>
    <w:rsid w:val="003A7A8A"/>
    <w:rsid w:val="003C15DB"/>
    <w:rsid w:val="003D4317"/>
    <w:rsid w:val="003D59AE"/>
    <w:rsid w:val="00414521"/>
    <w:rsid w:val="00426636"/>
    <w:rsid w:val="00426C44"/>
    <w:rsid w:val="00437417"/>
    <w:rsid w:val="0044359E"/>
    <w:rsid w:val="00462989"/>
    <w:rsid w:val="00475CEF"/>
    <w:rsid w:val="0047736A"/>
    <w:rsid w:val="00490E1F"/>
    <w:rsid w:val="00493917"/>
    <w:rsid w:val="00497333"/>
    <w:rsid w:val="004E406E"/>
    <w:rsid w:val="004F4B76"/>
    <w:rsid w:val="00506447"/>
    <w:rsid w:val="0051590C"/>
    <w:rsid w:val="00522EF2"/>
    <w:rsid w:val="005309D8"/>
    <w:rsid w:val="00541E59"/>
    <w:rsid w:val="00546256"/>
    <w:rsid w:val="005552A7"/>
    <w:rsid w:val="0055595A"/>
    <w:rsid w:val="005563E1"/>
    <w:rsid w:val="00571E05"/>
    <w:rsid w:val="00572885"/>
    <w:rsid w:val="00585751"/>
    <w:rsid w:val="005D0D0B"/>
    <w:rsid w:val="00600366"/>
    <w:rsid w:val="0060734A"/>
    <w:rsid w:val="00614217"/>
    <w:rsid w:val="00632247"/>
    <w:rsid w:val="00642667"/>
    <w:rsid w:val="00665528"/>
    <w:rsid w:val="00672293"/>
    <w:rsid w:val="00674F47"/>
    <w:rsid w:val="006A7E6E"/>
    <w:rsid w:val="006B6528"/>
    <w:rsid w:val="006C34E5"/>
    <w:rsid w:val="006C6CEE"/>
    <w:rsid w:val="006D238E"/>
    <w:rsid w:val="006E04B0"/>
    <w:rsid w:val="007035C4"/>
    <w:rsid w:val="007232D3"/>
    <w:rsid w:val="00732C0D"/>
    <w:rsid w:val="007472C6"/>
    <w:rsid w:val="00750088"/>
    <w:rsid w:val="0075427C"/>
    <w:rsid w:val="00763FE8"/>
    <w:rsid w:val="00764A45"/>
    <w:rsid w:val="00775CD9"/>
    <w:rsid w:val="007818D0"/>
    <w:rsid w:val="00784E0F"/>
    <w:rsid w:val="007862CE"/>
    <w:rsid w:val="00794ED7"/>
    <w:rsid w:val="007A01CD"/>
    <w:rsid w:val="007A5357"/>
    <w:rsid w:val="007B017E"/>
    <w:rsid w:val="007B0B7C"/>
    <w:rsid w:val="007E7826"/>
    <w:rsid w:val="007E7ADF"/>
    <w:rsid w:val="0081489B"/>
    <w:rsid w:val="00820C22"/>
    <w:rsid w:val="00835A20"/>
    <w:rsid w:val="008379FD"/>
    <w:rsid w:val="00844050"/>
    <w:rsid w:val="00872F67"/>
    <w:rsid w:val="008C48C7"/>
    <w:rsid w:val="0091648C"/>
    <w:rsid w:val="00921F34"/>
    <w:rsid w:val="00934C8A"/>
    <w:rsid w:val="009362AE"/>
    <w:rsid w:val="0094547C"/>
    <w:rsid w:val="00947635"/>
    <w:rsid w:val="009847A6"/>
    <w:rsid w:val="009B2927"/>
    <w:rsid w:val="009C3301"/>
    <w:rsid w:val="009E00EE"/>
    <w:rsid w:val="009E3320"/>
    <w:rsid w:val="009E6C1F"/>
    <w:rsid w:val="00A070AB"/>
    <w:rsid w:val="00A10EA6"/>
    <w:rsid w:val="00A224B2"/>
    <w:rsid w:val="00A23F91"/>
    <w:rsid w:val="00A3499F"/>
    <w:rsid w:val="00A65DB1"/>
    <w:rsid w:val="00AA08CD"/>
    <w:rsid w:val="00B13B94"/>
    <w:rsid w:val="00B52386"/>
    <w:rsid w:val="00B54EBC"/>
    <w:rsid w:val="00B76145"/>
    <w:rsid w:val="00BB00E8"/>
    <w:rsid w:val="00BD38C2"/>
    <w:rsid w:val="00BE2D64"/>
    <w:rsid w:val="00BE420E"/>
    <w:rsid w:val="00BF45AC"/>
    <w:rsid w:val="00C36A26"/>
    <w:rsid w:val="00C5123C"/>
    <w:rsid w:val="00C71DD2"/>
    <w:rsid w:val="00C8209B"/>
    <w:rsid w:val="00C831C7"/>
    <w:rsid w:val="00C946DE"/>
    <w:rsid w:val="00C9585A"/>
    <w:rsid w:val="00CA597D"/>
    <w:rsid w:val="00CB2DD5"/>
    <w:rsid w:val="00CD5934"/>
    <w:rsid w:val="00CE0AB3"/>
    <w:rsid w:val="00CE5A9D"/>
    <w:rsid w:val="00CF059A"/>
    <w:rsid w:val="00D41589"/>
    <w:rsid w:val="00D648BC"/>
    <w:rsid w:val="00D8426A"/>
    <w:rsid w:val="00D84C7F"/>
    <w:rsid w:val="00D93559"/>
    <w:rsid w:val="00DB1EB4"/>
    <w:rsid w:val="00DE7A64"/>
    <w:rsid w:val="00E01E60"/>
    <w:rsid w:val="00E31C1F"/>
    <w:rsid w:val="00E41D3C"/>
    <w:rsid w:val="00E421A5"/>
    <w:rsid w:val="00E73AEB"/>
    <w:rsid w:val="00EB24D3"/>
    <w:rsid w:val="00EC1D49"/>
    <w:rsid w:val="00EC7F2D"/>
    <w:rsid w:val="00ED483C"/>
    <w:rsid w:val="00EF5638"/>
    <w:rsid w:val="00EF7392"/>
    <w:rsid w:val="00F10CBF"/>
    <w:rsid w:val="00F16948"/>
    <w:rsid w:val="00F17C31"/>
    <w:rsid w:val="00F31ADE"/>
    <w:rsid w:val="00F719A2"/>
    <w:rsid w:val="00FA6414"/>
    <w:rsid w:val="00FC7371"/>
    <w:rsid w:val="00FF4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1D60"/>
  <w15:chartTrackingRefBased/>
  <w15:docId w15:val="{92B130DF-CC5F-4E0F-906C-DA01079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36A"/>
    <w:pPr>
      <w:spacing w:after="0" w:line="240" w:lineRule="auto"/>
    </w:pPr>
    <w:rPr>
      <w:rFonts w:ascii="Aptos" w:hAnsi="Aptos" w:cs="Aptos"/>
      <w:kern w:val="0"/>
      <w:sz w:val="24"/>
      <w:szCs w:val="24"/>
      <w:lang w:eastAsia="it-IT"/>
      <w14:ligatures w14:val="none"/>
    </w:rPr>
  </w:style>
  <w:style w:type="paragraph" w:styleId="Titolo1">
    <w:name w:val="heading 1"/>
    <w:basedOn w:val="Normale"/>
    <w:next w:val="Normale"/>
    <w:link w:val="Titolo1Carattere"/>
    <w:uiPriority w:val="9"/>
    <w:qFormat/>
    <w:rsid w:val="0047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736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736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736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736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736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736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736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736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7736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7736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7736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7736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773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773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773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773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7736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73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7736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73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7736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736A"/>
    <w:rPr>
      <w:i/>
      <w:iCs/>
      <w:color w:val="404040" w:themeColor="text1" w:themeTint="BF"/>
    </w:rPr>
  </w:style>
  <w:style w:type="paragraph" w:styleId="Paragrafoelenco">
    <w:name w:val="List Paragraph"/>
    <w:basedOn w:val="Normale"/>
    <w:uiPriority w:val="34"/>
    <w:qFormat/>
    <w:rsid w:val="0047736A"/>
    <w:pPr>
      <w:ind w:left="720"/>
      <w:contextualSpacing/>
    </w:pPr>
  </w:style>
  <w:style w:type="character" w:styleId="Enfasiintensa">
    <w:name w:val="Intense Emphasis"/>
    <w:basedOn w:val="Carpredefinitoparagrafo"/>
    <w:uiPriority w:val="21"/>
    <w:qFormat/>
    <w:rsid w:val="0047736A"/>
    <w:rPr>
      <w:i/>
      <w:iCs/>
      <w:color w:val="0F4761" w:themeColor="accent1" w:themeShade="BF"/>
    </w:rPr>
  </w:style>
  <w:style w:type="paragraph" w:styleId="Citazioneintensa">
    <w:name w:val="Intense Quote"/>
    <w:basedOn w:val="Normale"/>
    <w:next w:val="Normale"/>
    <w:link w:val="CitazioneintensaCarattere"/>
    <w:uiPriority w:val="30"/>
    <w:qFormat/>
    <w:rsid w:val="0047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736A"/>
    <w:rPr>
      <w:i/>
      <w:iCs/>
      <w:color w:val="0F4761" w:themeColor="accent1" w:themeShade="BF"/>
    </w:rPr>
  </w:style>
  <w:style w:type="character" w:styleId="Riferimentointenso">
    <w:name w:val="Intense Reference"/>
    <w:basedOn w:val="Carpredefinitoparagrafo"/>
    <w:uiPriority w:val="32"/>
    <w:qFormat/>
    <w:rsid w:val="0047736A"/>
    <w:rPr>
      <w:b/>
      <w:bCs/>
      <w:smallCaps/>
      <w:color w:val="0F4761" w:themeColor="accent1" w:themeShade="BF"/>
      <w:spacing w:val="5"/>
    </w:rPr>
  </w:style>
  <w:style w:type="character" w:styleId="Collegamentoipertestuale">
    <w:name w:val="Hyperlink"/>
    <w:basedOn w:val="Carpredefinitoparagrafo"/>
    <w:uiPriority w:val="99"/>
    <w:semiHidden/>
    <w:unhideWhenUsed/>
    <w:rsid w:val="0047736A"/>
    <w:rPr>
      <w:color w:val="0563C1"/>
      <w:u w:val="single"/>
    </w:rPr>
  </w:style>
  <w:style w:type="paragraph" w:styleId="NormaleWeb">
    <w:name w:val="Normal (Web)"/>
    <w:basedOn w:val="Normale"/>
    <w:uiPriority w:val="99"/>
    <w:semiHidden/>
    <w:unhideWhenUsed/>
    <w:rsid w:val="0047736A"/>
    <w:pPr>
      <w:spacing w:before="100" w:beforeAutospacing="1" w:after="100" w:afterAutospacing="1"/>
    </w:pPr>
  </w:style>
  <w:style w:type="character" w:customStyle="1" w:styleId="fontstyle01">
    <w:name w:val="fontstyle01"/>
    <w:basedOn w:val="Carpredefinitoparagrafo"/>
    <w:rsid w:val="0047736A"/>
    <w:rPr>
      <w:rFonts w:ascii="TimesNewRomanPSMT" w:hAnsi="TimesNewRomanPSMT" w:hint="default"/>
      <w:b w:val="0"/>
      <w:bCs w:val="0"/>
      <w:i w:val="0"/>
      <w:iCs w:val="0"/>
      <w:color w:val="000000"/>
    </w:rPr>
  </w:style>
  <w:style w:type="table" w:styleId="Grigliatabella">
    <w:name w:val="Table Grid"/>
    <w:basedOn w:val="Tabellanormale"/>
    <w:uiPriority w:val="39"/>
    <w:rsid w:val="00571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43788"/>
    <w:pPr>
      <w:tabs>
        <w:tab w:val="center" w:pos="4819"/>
        <w:tab w:val="right" w:pos="9638"/>
      </w:tabs>
    </w:pPr>
  </w:style>
  <w:style w:type="character" w:customStyle="1" w:styleId="IntestazioneCarattere">
    <w:name w:val="Intestazione Carattere"/>
    <w:basedOn w:val="Carpredefinitoparagrafo"/>
    <w:link w:val="Intestazione"/>
    <w:uiPriority w:val="99"/>
    <w:rsid w:val="00043788"/>
    <w:rPr>
      <w:rFonts w:ascii="Aptos" w:hAnsi="Aptos" w:cs="Aptos"/>
      <w:kern w:val="0"/>
      <w:sz w:val="24"/>
      <w:szCs w:val="24"/>
      <w:lang w:eastAsia="it-IT"/>
      <w14:ligatures w14:val="none"/>
    </w:rPr>
  </w:style>
  <w:style w:type="paragraph" w:styleId="Pidipagina">
    <w:name w:val="footer"/>
    <w:basedOn w:val="Normale"/>
    <w:link w:val="PidipaginaCarattere"/>
    <w:uiPriority w:val="99"/>
    <w:unhideWhenUsed/>
    <w:rsid w:val="00043788"/>
    <w:pPr>
      <w:tabs>
        <w:tab w:val="center" w:pos="4819"/>
        <w:tab w:val="right" w:pos="9638"/>
      </w:tabs>
    </w:pPr>
  </w:style>
  <w:style w:type="character" w:customStyle="1" w:styleId="PidipaginaCarattere">
    <w:name w:val="Piè di pagina Carattere"/>
    <w:basedOn w:val="Carpredefinitoparagrafo"/>
    <w:link w:val="Pidipagina"/>
    <w:uiPriority w:val="99"/>
    <w:rsid w:val="00043788"/>
    <w:rPr>
      <w:rFonts w:ascii="Aptos" w:hAnsi="Aptos" w:cs="Aptos"/>
      <w:kern w:val="0"/>
      <w:sz w:val="24"/>
      <w:szCs w:val="24"/>
      <w:lang w:eastAsia="it-IT"/>
      <w14:ligatures w14:val="none"/>
    </w:rPr>
  </w:style>
  <w:style w:type="paragraph" w:customStyle="1" w:styleId="xmsonormal">
    <w:name w:val="x_msonormal"/>
    <w:basedOn w:val="Normale"/>
    <w:rsid w:val="007818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670106">
      <w:bodyDiv w:val="1"/>
      <w:marLeft w:val="0"/>
      <w:marRight w:val="0"/>
      <w:marTop w:val="0"/>
      <w:marBottom w:val="0"/>
      <w:divBdr>
        <w:top w:val="none" w:sz="0" w:space="0" w:color="auto"/>
        <w:left w:val="none" w:sz="0" w:space="0" w:color="auto"/>
        <w:bottom w:val="none" w:sz="0" w:space="0" w:color="auto"/>
        <w:right w:val="none" w:sz="0" w:space="0" w:color="auto"/>
      </w:divBdr>
    </w:div>
    <w:div w:id="661155943">
      <w:bodyDiv w:val="1"/>
      <w:marLeft w:val="0"/>
      <w:marRight w:val="0"/>
      <w:marTop w:val="0"/>
      <w:marBottom w:val="0"/>
      <w:divBdr>
        <w:top w:val="none" w:sz="0" w:space="0" w:color="auto"/>
        <w:left w:val="none" w:sz="0" w:space="0" w:color="auto"/>
        <w:bottom w:val="none" w:sz="0" w:space="0" w:color="auto"/>
        <w:right w:val="none" w:sz="0" w:space="0" w:color="auto"/>
      </w:divBdr>
    </w:div>
    <w:div w:id="801773258">
      <w:bodyDiv w:val="1"/>
      <w:marLeft w:val="0"/>
      <w:marRight w:val="0"/>
      <w:marTop w:val="0"/>
      <w:marBottom w:val="0"/>
      <w:divBdr>
        <w:top w:val="none" w:sz="0" w:space="0" w:color="auto"/>
        <w:left w:val="none" w:sz="0" w:space="0" w:color="auto"/>
        <w:bottom w:val="none" w:sz="0" w:space="0" w:color="auto"/>
        <w:right w:val="none" w:sz="0" w:space="0" w:color="auto"/>
      </w:divBdr>
    </w:div>
    <w:div w:id="1112670661">
      <w:bodyDiv w:val="1"/>
      <w:marLeft w:val="0"/>
      <w:marRight w:val="0"/>
      <w:marTop w:val="0"/>
      <w:marBottom w:val="0"/>
      <w:divBdr>
        <w:top w:val="none" w:sz="0" w:space="0" w:color="auto"/>
        <w:left w:val="none" w:sz="0" w:space="0" w:color="auto"/>
        <w:bottom w:val="none" w:sz="0" w:space="0" w:color="auto"/>
        <w:right w:val="none" w:sz="0" w:space="0" w:color="auto"/>
      </w:divBdr>
    </w:div>
    <w:div w:id="1212575343">
      <w:bodyDiv w:val="1"/>
      <w:marLeft w:val="0"/>
      <w:marRight w:val="0"/>
      <w:marTop w:val="0"/>
      <w:marBottom w:val="0"/>
      <w:divBdr>
        <w:top w:val="none" w:sz="0" w:space="0" w:color="auto"/>
        <w:left w:val="none" w:sz="0" w:space="0" w:color="auto"/>
        <w:bottom w:val="none" w:sz="0" w:space="0" w:color="auto"/>
        <w:right w:val="none" w:sz="0" w:space="0" w:color="auto"/>
      </w:divBdr>
    </w:div>
    <w:div w:id="1350838870">
      <w:bodyDiv w:val="1"/>
      <w:marLeft w:val="0"/>
      <w:marRight w:val="0"/>
      <w:marTop w:val="0"/>
      <w:marBottom w:val="0"/>
      <w:divBdr>
        <w:top w:val="none" w:sz="0" w:space="0" w:color="auto"/>
        <w:left w:val="none" w:sz="0" w:space="0" w:color="auto"/>
        <w:bottom w:val="none" w:sz="0" w:space="0" w:color="auto"/>
        <w:right w:val="none" w:sz="0" w:space="0" w:color="auto"/>
      </w:divBdr>
    </w:div>
    <w:div w:id="1627545972">
      <w:bodyDiv w:val="1"/>
      <w:marLeft w:val="0"/>
      <w:marRight w:val="0"/>
      <w:marTop w:val="0"/>
      <w:marBottom w:val="0"/>
      <w:divBdr>
        <w:top w:val="none" w:sz="0" w:space="0" w:color="auto"/>
        <w:left w:val="none" w:sz="0" w:space="0" w:color="auto"/>
        <w:bottom w:val="none" w:sz="0" w:space="0" w:color="auto"/>
        <w:right w:val="none" w:sz="0" w:space="0" w:color="auto"/>
      </w:divBdr>
    </w:div>
    <w:div w:id="1848668175">
      <w:bodyDiv w:val="1"/>
      <w:marLeft w:val="0"/>
      <w:marRight w:val="0"/>
      <w:marTop w:val="0"/>
      <w:marBottom w:val="0"/>
      <w:divBdr>
        <w:top w:val="none" w:sz="0" w:space="0" w:color="auto"/>
        <w:left w:val="none" w:sz="0" w:space="0" w:color="auto"/>
        <w:bottom w:val="none" w:sz="0" w:space="0" w:color="auto"/>
        <w:right w:val="none" w:sz="0" w:space="0" w:color="auto"/>
      </w:divBdr>
    </w:div>
    <w:div w:id="186138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100fb6-fddf-42d8-9070-0d5180fa0df8" xsi:nil="true"/>
    <lcf76f155ced4ddcb4097134ff3c332f xmlns="e33446fe-9119-42ca-8397-eec17cdd1d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BC393287013F5448C9BF460C9736267" ma:contentTypeVersion="22" ma:contentTypeDescription="Creare un nuovo documento." ma:contentTypeScope="" ma:versionID="514fe4ced3a58803b8d68ea1ce279020">
  <xsd:schema xmlns:xsd="http://www.w3.org/2001/XMLSchema" xmlns:xs="http://www.w3.org/2001/XMLSchema" xmlns:p="http://schemas.microsoft.com/office/2006/metadata/properties" xmlns:ns2="e33446fe-9119-42ca-8397-eec17cdd1d4f" xmlns:ns3="4c100fb6-fddf-42d8-9070-0d5180fa0df8" targetNamespace="http://schemas.microsoft.com/office/2006/metadata/properties" ma:root="true" ma:fieldsID="153f9248ccc136b8ca4bdc61e5ac0261" ns2:_="" ns3:_="">
    <xsd:import namespace="e33446fe-9119-42ca-8397-eec17cdd1d4f"/>
    <xsd:import namespace="4c100fb6-fddf-42d8-9070-0d5180fa0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446fe-9119-42ca-8397-eec17cdd1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4a7c11ea-0c45-4ddf-9752-1b73d49936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0fb6-fddf-42d8-9070-0d5180fa0df8"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b275cb7b-4400-46bd-b8c7-482e638a6b10}" ma:internalName="TaxCatchAll" ma:showField="CatchAllData" ma:web="4c100fb6-fddf-42d8-9070-0d5180fa0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EBBF8-2EEA-4EF3-9384-D58FC202ABCB}">
  <ds:schemaRefs>
    <ds:schemaRef ds:uri="http://schemas.microsoft.com/office/2006/metadata/properties"/>
    <ds:schemaRef ds:uri="http://schemas.microsoft.com/office/infopath/2007/PartnerControls"/>
    <ds:schemaRef ds:uri="4c100fb6-fddf-42d8-9070-0d5180fa0df8"/>
    <ds:schemaRef ds:uri="e33446fe-9119-42ca-8397-eec17cdd1d4f"/>
  </ds:schemaRefs>
</ds:datastoreItem>
</file>

<file path=customXml/itemProps2.xml><?xml version="1.0" encoding="utf-8"?>
<ds:datastoreItem xmlns:ds="http://schemas.openxmlformats.org/officeDocument/2006/customXml" ds:itemID="{58818867-4A24-4B6B-AE89-9DE13B2D0579}">
  <ds:schemaRefs>
    <ds:schemaRef ds:uri="http://schemas.microsoft.com/sharepoint/v3/contenttype/forms"/>
  </ds:schemaRefs>
</ds:datastoreItem>
</file>

<file path=customXml/itemProps3.xml><?xml version="1.0" encoding="utf-8"?>
<ds:datastoreItem xmlns:ds="http://schemas.openxmlformats.org/officeDocument/2006/customXml" ds:itemID="{93C1C220-63CA-4286-ADA9-6AEF59004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446fe-9119-42ca-8397-eec17cdd1d4f"/>
    <ds:schemaRef ds:uri="4c100fb6-fddf-42d8-9070-0d5180fa0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25AAC1-E9ED-48A4-8810-A48160D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5054</Words>
  <Characters>28809</Characters>
  <Application>Microsoft Office Word</Application>
  <DocSecurity>0</DocSecurity>
  <Lines>240</Lines>
  <Paragraphs>67</Paragraphs>
  <ScaleCrop>false</ScaleCrop>
  <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Sorrenti</dc:creator>
  <cp:keywords/>
  <dc:description/>
  <cp:lastModifiedBy>Tiziana Caponi</cp:lastModifiedBy>
  <cp:revision>41</cp:revision>
  <dcterms:created xsi:type="dcterms:W3CDTF">2024-11-07T13:51:00Z</dcterms:created>
  <dcterms:modified xsi:type="dcterms:W3CDTF">2024-11-08T11:40:00Z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0x0101004BC393287013F5448C9BF460C9736267</vt:lpwstr>
  </property>
  <property fmtid="{D5CDD505-2E9C-101B-9397-08002B2CF9AE}" pid="3" name="MediaServiceImageTags">
    <vt:lpwstr/>
  </property>
</Properties>
</file>